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E4BE2" w14:textId="77777777" w:rsidR="00F9038A" w:rsidRPr="00C543E1" w:rsidRDefault="00F9038A" w:rsidP="00530A3D">
      <w:pPr>
        <w:suppressAutoHyphens/>
        <w:autoSpaceDN w:val="0"/>
        <w:spacing w:before="120" w:after="240" w:line="360" w:lineRule="auto"/>
        <w:jc w:val="center"/>
        <w:rPr>
          <w:rFonts w:ascii="Times New Roman" w:eastAsia="Times New Roman" w:hAnsi="Times New Roman"/>
          <w:bCs/>
          <w:sz w:val="24"/>
          <w:szCs w:val="24"/>
        </w:rPr>
      </w:pPr>
      <w:bookmarkStart w:id="0" w:name="_GoBack"/>
      <w:bookmarkEnd w:id="0"/>
      <w:r w:rsidRPr="00C543E1">
        <w:rPr>
          <w:rFonts w:ascii="Times New Roman" w:eastAsia="Times New Roman" w:hAnsi="Times New Roman"/>
          <w:bCs/>
          <w:sz w:val="24"/>
          <w:szCs w:val="24"/>
        </w:rPr>
        <w:t>UZASADNIENIE</w:t>
      </w:r>
    </w:p>
    <w:p w14:paraId="63C2222C" w14:textId="76A327BC"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Celem projektowanej ustawy jest stworzenie podstaw prawnych realizacji Planu Strategicznego dla Wspólnej Polityki Rolnej na lata 2023–2027, zwanego dalej „Planem Strategicznym”. Powyższe wynika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dyspozycji skierowanych do państw czł</w:t>
      </w:r>
      <w:r w:rsidR="00796DF3">
        <w:rPr>
          <w:rFonts w:ascii="Times New Roman" w:eastAsia="Times New Roman" w:hAnsi="Times New Roman"/>
          <w:sz w:val="24"/>
          <w:szCs w:val="24"/>
          <w:lang w:eastAsia="pl-PL"/>
        </w:rPr>
        <w:t>onkowskich, a wyrażonych w art. </w:t>
      </w:r>
      <w:r w:rsidRPr="00C543E1">
        <w:rPr>
          <w:rFonts w:ascii="Times New Roman" w:eastAsia="Times New Roman" w:hAnsi="Times New Roman"/>
          <w:sz w:val="24"/>
          <w:szCs w:val="24"/>
          <w:lang w:eastAsia="pl-PL"/>
        </w:rPr>
        <w:t>9 rozporządzenia Parlamentu Europejskiego i Rady (UE) 2021/2115 z dnia 2 grudnia 2021 r. ustanawiającego przepisy dotyczące wsparcia planów strategicznych sporządzanych przez państwa członkowskie w ramach wspólnej polityki rolnej (planów strategicznych WPR) i</w:t>
      </w:r>
      <w:r w:rsidR="00796DF3">
        <w:rPr>
          <w:rFonts w:ascii="Times New Roman" w:eastAsia="Times New Roman" w:hAnsi="Times New Roman"/>
          <w:sz w:val="24"/>
          <w:szCs w:val="24"/>
          <w:lang w:eastAsia="pl-PL"/>
        </w:rPr>
        <w:t> </w:t>
      </w:r>
      <w:r w:rsidRPr="00C543E1">
        <w:rPr>
          <w:rFonts w:ascii="Times New Roman" w:eastAsia="Times New Roman" w:hAnsi="Times New Roman"/>
          <w:sz w:val="24"/>
          <w:szCs w:val="24"/>
          <w:lang w:eastAsia="pl-PL"/>
        </w:rPr>
        <w:t>finansowanych z Europejskiego Funduszu Rolniczego Gwarancji (EFRG) i z Europejskiego Funduszu Rolnego na rzecz Rozwoju Obszarów Wiejskich (EFRROW) oraz uchylającego rozporządzenia (UE) nr</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1305/2013 i</w:t>
      </w:r>
      <w:r w:rsidRPr="00C543E1" w:rsidDel="007E70CD">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(UE) nr 1307/2013 (Dz. Urz. UE L 435 z 06.12.2021, str.</w:t>
      </w:r>
      <w:r w:rsidR="00796DF3">
        <w:rPr>
          <w:rFonts w:ascii="Times New Roman" w:eastAsia="Times New Roman" w:hAnsi="Times New Roman"/>
          <w:sz w:val="24"/>
          <w:szCs w:val="24"/>
          <w:lang w:eastAsia="pl-PL"/>
        </w:rPr>
        <w:t> </w:t>
      </w:r>
      <w:r w:rsidRPr="00C543E1">
        <w:rPr>
          <w:rFonts w:ascii="Times New Roman" w:eastAsia="Times New Roman" w:hAnsi="Times New Roman"/>
          <w:sz w:val="24"/>
          <w:szCs w:val="24"/>
          <w:lang w:eastAsia="pl-PL"/>
        </w:rPr>
        <w:t>1, z późn. zm.), zwanego dalej „rozporządzeniem 2021/2115”.</w:t>
      </w:r>
    </w:p>
    <w:p w14:paraId="29A5E29A" w14:textId="69F9955A"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celu zapewnienia skutecznej ochrony interesów finansowych Unii Europejskiej, państwa członkowskie przyjmują wszystkie przepisy ustawowe, wykonawcze i administracyjne zgodnie z art. 59 ust. 1 rozporządzenia Parlamentu Europejskiego i Rady (UE) 2021/2116 z dnia 2</w:t>
      </w:r>
      <w:r w:rsidR="00796DF3">
        <w:rPr>
          <w:rFonts w:ascii="Times New Roman" w:eastAsia="Times New Roman" w:hAnsi="Times New Roman"/>
          <w:sz w:val="24"/>
          <w:szCs w:val="24"/>
          <w:lang w:eastAsia="pl-PL"/>
        </w:rPr>
        <w:t> </w:t>
      </w:r>
      <w:r w:rsidRPr="00C543E1">
        <w:rPr>
          <w:rFonts w:ascii="Times New Roman" w:eastAsia="Times New Roman" w:hAnsi="Times New Roman"/>
          <w:sz w:val="24"/>
          <w:szCs w:val="24"/>
          <w:lang w:eastAsia="pl-PL"/>
        </w:rPr>
        <w:t>grudnia 2021 r. w sprawie finansowania wspólnej polityki rolnej, zarządzania nią i</w:t>
      </w:r>
      <w:r w:rsidR="00796DF3">
        <w:rPr>
          <w:rFonts w:ascii="Times New Roman" w:eastAsia="Times New Roman" w:hAnsi="Times New Roman"/>
          <w:sz w:val="24"/>
          <w:szCs w:val="24"/>
          <w:lang w:eastAsia="pl-PL"/>
        </w:rPr>
        <w:t> </w:t>
      </w:r>
      <w:r w:rsidRPr="00C543E1">
        <w:rPr>
          <w:rFonts w:ascii="Times New Roman" w:eastAsia="Times New Roman" w:hAnsi="Times New Roman"/>
          <w:sz w:val="24"/>
          <w:szCs w:val="24"/>
          <w:lang w:eastAsia="pl-PL"/>
        </w:rPr>
        <w:t>monitorowania jej oraz uchylenia rozporządzenia (UE) nr 1306/2013 (Dz. Urz. UE L 435 z</w:t>
      </w:r>
      <w:r w:rsidR="00796DF3">
        <w:rPr>
          <w:rFonts w:ascii="Times New Roman" w:eastAsia="Times New Roman" w:hAnsi="Times New Roman"/>
          <w:sz w:val="24"/>
          <w:szCs w:val="24"/>
          <w:lang w:eastAsia="pl-PL"/>
        </w:rPr>
        <w:t> </w:t>
      </w:r>
      <w:r w:rsidRPr="00C543E1">
        <w:rPr>
          <w:rFonts w:ascii="Times New Roman" w:eastAsia="Times New Roman" w:hAnsi="Times New Roman"/>
          <w:sz w:val="24"/>
          <w:szCs w:val="24"/>
          <w:lang w:eastAsia="pl-PL"/>
        </w:rPr>
        <w:t>06.12.2021, str. 187, z późn. zm.), zwanego dalej „rozporządzeniem 2021/2116”.</w:t>
      </w:r>
    </w:p>
    <w:p w14:paraId="5BF30802" w14:textId="7326EA7B"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Konieczność opracowania nowej ustawy w obszarze Wspólnej Polityki Rolnej, zwanej dalej „WPR”, wynika z nowego pakietu aktów prawnych Unii Europejskiej (UE),</w:t>
      </w:r>
      <w:r w:rsidR="00796DF3">
        <w:rPr>
          <w:rFonts w:ascii="Times New Roman" w:eastAsia="Times New Roman" w:hAnsi="Times New Roman"/>
          <w:sz w:val="24"/>
          <w:szCs w:val="24"/>
          <w:lang w:eastAsia="pl-PL"/>
        </w:rPr>
        <w:t xml:space="preserve"> w związku z </w:t>
      </w:r>
      <w:r w:rsidRPr="00C543E1">
        <w:rPr>
          <w:rFonts w:ascii="Times New Roman" w:eastAsia="Times New Roman" w:hAnsi="Times New Roman"/>
          <w:sz w:val="24"/>
          <w:szCs w:val="24"/>
          <w:lang w:eastAsia="pl-PL"/>
        </w:rPr>
        <w:t>reformą WPR, zakładających finansowanie różnych interwencji objętych Planem Strategicznym przez Europejski Fundusz Rolniczy Gwarancji (EFRG) i Europejski Fundusz Rolny na rzecz Rozwoju Obszarów Wiejskich (EFRROW) oraz współfinansowanie z budżetów państw członkowskich.</w:t>
      </w:r>
    </w:p>
    <w:p w14:paraId="15871B4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Wsparcie zaproponowane w Planie Strategicznym będzie realizowane ze środków pochodzących z UE, na które składa się wsparcie w kwocie 17,3 mld euro w ramach I filaru WPR (EFRG) i 4,7 mld euro w ramach II filaru WPR (EFRROW).</w:t>
      </w:r>
    </w:p>
    <w:p w14:paraId="7B2F4C5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przypadku II filara WPR oprócz środków UE przewiduje się także współfinansowanie krajowe w wysokości ponad 3,2 mld euro, co daje łącznie ponad 7,9 mld euro środków publicznych na wsparcie związane z rozwojem obszarów wiejskich. </w:t>
      </w:r>
    </w:p>
    <w:p w14:paraId="60915B22"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Dodatkowo, w I filarze WPR, będzie realizowane przejściowe wsparcie krajowe finansowane w całości z budżetu krajowego.</w:t>
      </w:r>
    </w:p>
    <w:p w14:paraId="43620EFA" w14:textId="77777777" w:rsidR="00F9038A" w:rsidRPr="00C543E1" w:rsidRDefault="00F9038A" w:rsidP="00530A3D">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 xml:space="preserve">Projektowana ustawa uwzględnia nowe podstawy i zasady wdrażania płatności bezpośrednich, interwencji sektorowych, interwencji dotyczących rozwoju obszarów wiejskich i pomocy technicznej, w szczególności objęcie ich jednym Planem Strategicznym, oraz przejściowego wsparcia krajowego. </w:t>
      </w:r>
    </w:p>
    <w:p w14:paraId="23E56EAE"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Przepisy prawa UE określają ogólne zasady ustanawiania interwencji oraz procedury ustanawiania, zmiany i zatwierdzania Planu Strategicznego, powierzając jednocześnie odpowiedzialność państwom członkowskim za określenie strategii interwencji i realizację zadań w zakresie wdrażania tych interwencji.</w:t>
      </w:r>
    </w:p>
    <w:p w14:paraId="33D3C53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Podstawy prawne systemu wdrażania Planu Strategicznego zaprojektowano z wykorzystaniem odpowiednio doświadczeń we wdrażaniu m.in. płatności w ramach systemów wsparcia bezpośredniego, programów rozwoju obszarów wiejskich oraz sprawdzonych rozwiązań w ramach programów realizowanych w zakresie polityki spójności.</w:t>
      </w:r>
    </w:p>
    <w:p w14:paraId="5E422ED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Zgodnie z Planem Strategicznym przyjęto system wdrażania, w którym rolę instytucji zarządzającej (IZ) pełni minister właściwy do spraw rozwoju wsi, akredytowanej agencji płatniczej – Agencja Restrukturyzacji i Modernizacji Rolnictwa (ARiMR), a instytucji pośredniczących oraz podmiotów wdrażających – samorządy województw. </w:t>
      </w:r>
    </w:p>
    <w:p w14:paraId="2C0CCA9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IZ odpowiada, co do zasady, za zarządzanie Planem Strategicznym i za wdrożenie go w efektywny, skuteczny i prawidłowy sposób, agencja płatnicza – za zarządzanie wydatkami oraz ich kontrolę, instytucje pośredniczące wykonują niektóre zadania IZ, a podmioty wdrażające zadania delegowane im przez agencję płatniczą.</w:t>
      </w:r>
    </w:p>
    <w:p w14:paraId="01C52228" w14:textId="4B4E519E"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Doświadczenia we wdrażaniu płatności w ramach systemów wsparcia bezpośredniego oraz programów rozwoju obszarów wiejskich dotyczą m.in. sposobu składania wniosków o przyznanie pomocy i wniosków o płatność oraz sposobu prowadzenia korespondencji z podmiotami ubiegającymi się o przyznanie pomocy i o wypłatę tej pomocy (w wersji papierowej lub elektronicznej). Proces szeroko pojętej elektronizacji procedur dotyczył początkowo możliwości składania wniosków o przyznanie pomocy w ramach niektórych instrumentów wsparcia, następnie obowiązku składania wniosków o przyznanie pomocy i możliwości składania wniosków o płatność w ramach niektórych instrumentów wsparcia oraz możliwości wymiany i doręczania korespondencji prowadzonej między ARiMR a stroną postępowania za pośrednictwem systemu teleinformatycznego ARiMR. Wymiana korespondencji we wskazany sposób była możliwa za zgodą strony i wyłącznie w sprawach, w</w:t>
      </w:r>
      <w:r w:rsidR="00094E11">
        <w:rPr>
          <w:rFonts w:ascii="Times New Roman" w:hAnsi="Times New Roman"/>
          <w:sz w:val="24"/>
          <w:szCs w:val="24"/>
        </w:rPr>
        <w:t xml:space="preserve"> </w:t>
      </w:r>
      <w:r w:rsidRPr="00C543E1">
        <w:rPr>
          <w:rFonts w:ascii="Times New Roman" w:hAnsi="Times New Roman"/>
          <w:sz w:val="24"/>
          <w:szCs w:val="24"/>
        </w:rPr>
        <w:t xml:space="preserve">których postępowanie było wszczynane na wniosek złożony za pomocą formularza </w:t>
      </w:r>
      <w:r w:rsidRPr="00C543E1">
        <w:rPr>
          <w:rFonts w:ascii="Times New Roman" w:hAnsi="Times New Roman"/>
          <w:sz w:val="24"/>
          <w:szCs w:val="24"/>
        </w:rPr>
        <w:lastRenderedPageBreak/>
        <w:t>udostępnionego na stronie internetowej ARiMR po uwierzytelnieniu strony w systemie teleinformatycznym ARiMR.</w:t>
      </w:r>
    </w:p>
    <w:p w14:paraId="02BC127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Rozwiązania dotyczące wykorzystania systemu teleinformatycznego ARiMR do składania wniosków i prowadzenia korespondencji w sprawach, których dotyczyły te wnioski były wprowadzane stopniowo. Podmioty ubiegające się o przyznanie pomocy oraz beneficjenci mieli więc możliwość zapoznania się już z tymi rozwiązaniami.</w:t>
      </w:r>
    </w:p>
    <w:p w14:paraId="041CAF4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Złożony system monitorowania i sprawozdawczości Planu Strategicznego obejmujący wiele interwencji i wielu beneficjentów sprawia, że dotychczasowe rozwiązania w obszarze cyfryzacji powinny zostać zastosowane w szerszym zakresie.</w:t>
      </w:r>
    </w:p>
    <w:p w14:paraId="5B7D1E0A" w14:textId="3EBFD56E"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Nie bez znaczenia są również wyzwania dla organów administracji, które pojawiły się w</w:t>
      </w:r>
      <w:r w:rsidR="00094E11">
        <w:rPr>
          <w:rFonts w:ascii="Times New Roman" w:hAnsi="Times New Roman"/>
          <w:sz w:val="24"/>
          <w:szCs w:val="24"/>
        </w:rPr>
        <w:t xml:space="preserve"> </w:t>
      </w:r>
      <w:r w:rsidRPr="00C543E1">
        <w:rPr>
          <w:rFonts w:ascii="Times New Roman" w:hAnsi="Times New Roman"/>
          <w:sz w:val="24"/>
          <w:szCs w:val="24"/>
        </w:rPr>
        <w:t xml:space="preserve">związku z epidemią COVID-19. Przyspieszyły one rozwój cyfryzacji z uwagi na potrzeby realizacji spraw na odległość ze względu na wygodę takiego rozwiązania oraz bezpieczeństwo relacji z zachowaniem dystansu społecznego. </w:t>
      </w:r>
    </w:p>
    <w:p w14:paraId="69F6436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związku z powyższym w projektowanej ustawie zaproponowano rozwiązania, zgodnie z którymi za pośrednictwem systemu teleinformatycznego ARiMR będzie się odbywało składanie wniosków o przyznanie pomocy finansowej oraz ich rozpatrzenie, w tym prowadzenie korespondencji w sprawie, oraz zawieranie umów o przyznanie pomocy. Projektowana ustawa wychodzi w tym zakresie naprzeciw ogólnemu procesowi informatyzacji, który jest związany z dynamicznym rozwojem technologicznym.</w:t>
      </w:r>
    </w:p>
    <w:p w14:paraId="2783D9D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Oczekuje się, że elektronizacja postępowań zapewni sprawne przekazywanie informacji i obieg dokumentacji, gwarantując uzyskanie informacji w czasie rzeczywistym. W efekcie przyczyni się do szybszego niż w poprzednich perspektywach finansowych rozpatrywania spraw i mniejszych kosztów funkcjonowania administracji oraz ułatwi sporządzanie i przekazywanie sprawozdań na potrzeby systemu monitorowania i sprawozdawczości Planu Strategicznego.</w:t>
      </w:r>
    </w:p>
    <w:p w14:paraId="08492C1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ramach rozszerzania procesu informatyzacji są uwzględniane jednocześnie możliwości rolników. Dlatego w odniesieniu do działań objętych Zintegrowanym Systemem Zarządzania i Kontroli, w szczególności płatności bezpośrednich, korespondencja między ARiMR oraz beneficjentem będzie prowadzona w formie elektronicznej tylko wtedy, gdy beneficjent wyrazi na to zgodę. W ten sposób zostały uwzględnione postulaty środowisk rolniczych zwracających uwagę, że powszechna informatyzacja może być zbyt dużym utrudnieniem dla rolników.</w:t>
      </w:r>
    </w:p>
    <w:p w14:paraId="7A2DCC3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W szerszym niż dotychczas zakresie zaproponowano wykorzystanie wytycznych IZ, które będą określać warunki i tryb wdrażania Planu Strategicznego. Projektowana ustawa określa interwencje, w ramach których pomoc będzie przyznawana w drodze decyzji administracyjnej. Warunki, na jakich będzie możliwe przyznanie tej pomocy określają przepisy projektowanej ustawy oraz przepisy wydane na podstawie tej ustawy. W przypadku pozostałych interwencji Planu Strategicznego pomoc będzie przyznawana na podstawie umowy o przyznaniu pomocy, a warunki, na jakich będzie możliwe przyznanie tej pomocy będzie określać, co do zasady, regulamin danego naboru wniosków o przyznanie pomocy opracowany w zgodzie z wytycznymi IZ.</w:t>
      </w:r>
    </w:p>
    <w:p w14:paraId="4A0053F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Główne cele projektowanej ustawy to określenie:</w:t>
      </w:r>
    </w:p>
    <w:p w14:paraId="09A1F97C" w14:textId="77777777" w:rsidR="00F9038A" w:rsidRPr="00C543E1" w:rsidRDefault="00F9038A" w:rsidP="00530A3D">
      <w:pPr>
        <w:numPr>
          <w:ilvl w:val="0"/>
          <w:numId w:val="2"/>
        </w:numPr>
        <w:autoSpaceDE w:val="0"/>
        <w:autoSpaceDN w:val="0"/>
        <w:adjustRightInd w:val="0"/>
        <w:spacing w:before="120"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podmiotów uczestniczących w realizacji Planu Strategicznego oraz ich zadań;</w:t>
      </w:r>
    </w:p>
    <w:p w14:paraId="25ECB9DA" w14:textId="77777777" w:rsidR="00F9038A" w:rsidRPr="00C543E1" w:rsidRDefault="00F9038A" w:rsidP="00530A3D">
      <w:pPr>
        <w:numPr>
          <w:ilvl w:val="0"/>
          <w:numId w:val="2"/>
        </w:numPr>
        <w:autoSpaceDE w:val="0"/>
        <w:autoSpaceDN w:val="0"/>
        <w:adjustRightInd w:val="0"/>
        <w:spacing w:before="120"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podstawowych zasad przyznawania, wypłaty i zwrotu pomocy finansowej w ramach interwencji objętych Planem Strategicznym oraz przejściowego wsparcia krajowego, o którym mowa w art. 147 rozporządzenia 2021/2115, zwanych dalej „pomocą”, i pomocy technicznej w ramach Planu Strategicznego;</w:t>
      </w:r>
    </w:p>
    <w:p w14:paraId="05A2B5B1" w14:textId="77777777" w:rsidR="00F9038A" w:rsidRPr="00C543E1" w:rsidRDefault="00F9038A" w:rsidP="00530A3D">
      <w:pPr>
        <w:numPr>
          <w:ilvl w:val="0"/>
          <w:numId w:val="2"/>
        </w:numPr>
        <w:autoSpaceDE w:val="0"/>
        <w:autoSpaceDN w:val="0"/>
        <w:adjustRightInd w:val="0"/>
        <w:spacing w:before="120"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zasad przeprowadzania kontroli w ramach Planu Strategicznego;</w:t>
      </w:r>
    </w:p>
    <w:p w14:paraId="4E210471" w14:textId="77777777" w:rsidR="00F9038A" w:rsidRPr="00C543E1" w:rsidRDefault="00F9038A" w:rsidP="00530A3D">
      <w:pPr>
        <w:numPr>
          <w:ilvl w:val="0"/>
          <w:numId w:val="2"/>
        </w:numPr>
        <w:autoSpaceDE w:val="0"/>
        <w:autoSpaceDN w:val="0"/>
        <w:adjustRightInd w:val="0"/>
        <w:spacing w:before="120"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zasad wdrażania instrumentów finansowych;</w:t>
      </w:r>
    </w:p>
    <w:p w14:paraId="63B44548" w14:textId="77777777" w:rsidR="00F9038A" w:rsidRPr="00C543E1" w:rsidRDefault="00F9038A" w:rsidP="00530A3D">
      <w:pPr>
        <w:numPr>
          <w:ilvl w:val="0"/>
          <w:numId w:val="2"/>
        </w:numPr>
        <w:autoSpaceDE w:val="0"/>
        <w:autoSpaceDN w:val="0"/>
        <w:adjustRightInd w:val="0"/>
        <w:spacing w:before="120"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zasad funkcjonowania krajowej sieci wspólnej polityki rolnej, zwanej dalej „KSOW+”, i podmiotów, które zapewniają funkcjonowanie tej sieci.</w:t>
      </w:r>
    </w:p>
    <w:p w14:paraId="15D2BA0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Projekt ustawy zakłada </w:t>
      </w:r>
      <w:r w:rsidRPr="00C543E1">
        <w:rPr>
          <w:rFonts w:ascii="Times New Roman" w:eastAsia="Times New Roman" w:hAnsi="Times New Roman"/>
          <w:sz w:val="24"/>
          <w:szCs w:val="24"/>
        </w:rPr>
        <w:t xml:space="preserve">uchylenie ustawy z dnia 5 lutego 2015 r. o płatnościach w ramach systemów wsparcia bezpośredniego (Dz. U. z 2022 r. poz. 1775, z późn. zm.) oraz </w:t>
      </w:r>
      <w:r w:rsidRPr="00C543E1">
        <w:rPr>
          <w:rFonts w:ascii="Times New Roman" w:eastAsia="Times New Roman" w:hAnsi="Times New Roman"/>
          <w:sz w:val="24"/>
          <w:szCs w:val="24"/>
          <w:lang w:eastAsia="pl-PL"/>
        </w:rPr>
        <w:t>wprowadzenie zmian w:</w:t>
      </w:r>
    </w:p>
    <w:p w14:paraId="503703A5"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26 marca 1982 r. o scalaniu i wymianie gruntów (Dz. U. z 2022 r. poz. 1223);</w:t>
      </w:r>
    </w:p>
    <w:p w14:paraId="6993A2C3"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28 września 1991 r. o lasach (Dz. U. z 2022 r. poz. 672, z późn. zm.);</w:t>
      </w:r>
    </w:p>
    <w:p w14:paraId="5FD7FA2A" w14:textId="45F9D1C2"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15 lutego 1992 r. o podatku dochodowym od osób prawnych (Dz. U.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2022 r. poz. 2587, z późn. zm.);</w:t>
      </w:r>
    </w:p>
    <w:p w14:paraId="7BA5099A"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hAnsi="Times New Roman"/>
          <w:sz w:val="24"/>
          <w:szCs w:val="24"/>
        </w:rPr>
        <w:t>ustawie z dnia 8 maja 1997 r. o poręczeniach i gwarancjach udzielanych przez Skarb Państwa oraz niektóre osoby prawne (Dz. U. z 2022 r. poz. 1613, z późn. zm.</w:t>
      </w:r>
      <w:r w:rsidRPr="00C543E1">
        <w:rPr>
          <w:rFonts w:ascii="Times New Roman" w:eastAsia="Times New Roman" w:hAnsi="Times New Roman"/>
          <w:sz w:val="24"/>
          <w:szCs w:val="24"/>
          <w:lang w:eastAsia="pl-PL"/>
        </w:rPr>
        <w:t>);</w:t>
      </w:r>
    </w:p>
    <w:p w14:paraId="056E4BD0"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15 września 2000 r. o grupach producentów rolnych i ich związkach oraz o zmianie innych ustaw (Dz. U. z 2022 r. poz. 395);</w:t>
      </w:r>
    </w:p>
    <w:p w14:paraId="735F2F92"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21 grudnia 2000 r. o jakości handlowej artykułów rolno-spożywczych (Dz. U. z 2022 r. poz. 1688, z późn. zm.);</w:t>
      </w:r>
    </w:p>
    <w:p w14:paraId="25B0D90B"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ustawie z dnia 11 kwietnia 2003 r. o kształtowaniu ustroju rolnego (Dz. U. z 2022 r. poz. 2569);</w:t>
      </w:r>
    </w:p>
    <w:p w14:paraId="0C834F25" w14:textId="3C2AF090"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28 listopada 2003 r. o wspieraniu rozwoju obszarów wiejskich ze środków pochodzących z Sekcji Gwarancji Europejskiego Funduszu Orientacji i</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Gwarancji Rolnej (Dz. U. z 2022 r. poz. 2026);</w:t>
      </w:r>
    </w:p>
    <w:p w14:paraId="247FF13F"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z dnia 18 grudnia 2003 r. o krajowym systemie ewidencji producentów, ewidencji gospodarstw rolnych oraz ewidencji wniosków o przyznanie płatności (Dz. U. z 2022 r. poz. 2001, z późn. zm.);</w:t>
      </w:r>
    </w:p>
    <w:p w14:paraId="5B56B735"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19 grudnia 2003 r. o organizacji rynków owoców i warzyw oraz rynku chmielu (Dz. U. z 2022 r. poz. 2101);</w:t>
      </w:r>
    </w:p>
    <w:p w14:paraId="28BF445F"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29 stycznia 2004 r. o Inspekcji Weterynaryjnej (Dz. U. z 2022 r. poz. 2629, z późn. zm.);</w:t>
      </w:r>
    </w:p>
    <w:p w14:paraId="4CAEBB5D"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11 marca 2004 r. o organizacji niektórych rynków rolnych (Dz. U. z 2022 r. poz.</w:t>
      </w:r>
      <w:r w:rsidR="00853C16">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185, z późn. zm.);</w:t>
      </w:r>
    </w:p>
    <w:p w14:paraId="6656CA3B"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20 kwietnia 2004 r. o organizacji rynku mleka i przetworów mlecznych (Dz. U. z 2022 r. poz. 381);</w:t>
      </w:r>
    </w:p>
    <w:p w14:paraId="2A992568"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22 października 2004 r. o jednostkach doradztwa rolniczego (Dz. U. z 2020 r. poz. 721);</w:t>
      </w:r>
    </w:p>
    <w:p w14:paraId="503CD6CE"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16 listopada 2006 r. o opłacie skarbowej (Dz. U. z 2022 r. poz. 2142, z późn. zm.);</w:t>
      </w:r>
    </w:p>
    <w:p w14:paraId="49097660"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6 grudnia 2006 r. o zasadach prowadzenia polityki rozwoju (Dz. U. z 2021 r. poz. 1057, z późn. zm.);</w:t>
      </w:r>
    </w:p>
    <w:p w14:paraId="0B0F1D0A" w14:textId="257490C8"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7 marca 2007 r. o wspieraniu rozwoju obszarów wiejskich z udziałem środków Europejskiego Funduszu Rolnego na rzecz Rozwoju Obszarów Wiejskich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ramach Programu Rozwoju Obszarów Wiejskich na lata 2007–2013 (Dz. U. z 2022 r. poz. 2138);</w:t>
      </w:r>
    </w:p>
    <w:p w14:paraId="5DD9CC24" w14:textId="04F65C16"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9 maja 2008 r. o Agencji Restrukturyzacji i Modernizacji Rolnictwa (Dz.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U. z 2022 r. poz. 2157, z późn. zm.);</w:t>
      </w:r>
    </w:p>
    <w:p w14:paraId="0779742C"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27 sierpnia 2009 r. o finansach publicznych (Dz. U. z 2022 r. poz. 1634, z późn. zm.);</w:t>
      </w:r>
    </w:p>
    <w:p w14:paraId="596A6F75"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8 marca 2013 r. o środkach ochrony roślin (Dz. U. z 2020 r. poz. 2097, z późn. zm.);</w:t>
      </w:r>
    </w:p>
    <w:p w14:paraId="6342D38A"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hAnsi="Times New Roman"/>
          <w:sz w:val="24"/>
          <w:szCs w:val="24"/>
        </w:rPr>
        <w:lastRenderedPageBreak/>
        <w:t>ustawie z dnia 20 lutego 2015 r. o rozwoju lokalnym z udziałem lokalnej społeczności</w:t>
      </w:r>
      <w:r w:rsidRPr="00C543E1">
        <w:rPr>
          <w:rFonts w:ascii="Times New Roman" w:hAnsi="Times New Roman"/>
          <w:sz w:val="24"/>
          <w:szCs w:val="24"/>
          <w:lang w:eastAsia="pl-PL"/>
        </w:rPr>
        <w:t xml:space="preserve"> (Dz. U. z 2022 r. poz. 943);</w:t>
      </w:r>
    </w:p>
    <w:p w14:paraId="15BA2E86" w14:textId="7225E5A6"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20 lutego 2015 r. o wspieraniu rozwoju obszarów wiejskich z udziałem środków Europejskiego Funduszu Rolnego na rzecz Rozwoju Obszarów Wiejskich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ramach Programu Rozwoju Obszarów Wiejskich na lata 2014–2020 (Dz. U. z 2022 r. poz. 2422, z późn. zm.), zwanej dalej „ustawą o PROW 2014–2020”;</w:t>
      </w:r>
    </w:p>
    <w:p w14:paraId="229798E8"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16 listopada 2016 r. o Krajowej Administracji Skarbowej (Dz. U. z 2022 r. poz. 813, z późn. zm.);</w:t>
      </w:r>
    </w:p>
    <w:p w14:paraId="2CD1C809"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20 lipca 2017 r. – Prawo wodne (Dz. U. z 2022 r. poz. 2625, z późn. zm.);</w:t>
      </w:r>
    </w:p>
    <w:p w14:paraId="06F3CD40" w14:textId="77777777"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ustawie z dnia 9 listopada 2018 r. o kołach gospodyń wiejskich (Dz. U. z 2021 r. poz. 2256);</w:t>
      </w:r>
    </w:p>
    <w:p w14:paraId="5215CAC5" w14:textId="01DFE664" w:rsidR="00F9038A" w:rsidRPr="00C543E1" w:rsidRDefault="00F9038A" w:rsidP="00530A3D">
      <w:pPr>
        <w:numPr>
          <w:ilvl w:val="0"/>
          <w:numId w:val="1"/>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hAnsi="Times New Roman"/>
          <w:sz w:val="24"/>
          <w:szCs w:val="24"/>
          <w:lang w:eastAsia="pl-PL"/>
        </w:rPr>
        <w:t xml:space="preserve">ustawie z dnia 11 września 2019 r. </w:t>
      </w:r>
      <w:r w:rsidRPr="00C543E1">
        <w:rPr>
          <w:rFonts w:ascii="Times New Roman" w:eastAsia="Times New Roman" w:hAnsi="Times New Roman"/>
          <w:sz w:val="24"/>
          <w:szCs w:val="24"/>
          <w:lang w:eastAsia="pl-PL"/>
        </w:rPr>
        <w:t>–</w:t>
      </w:r>
      <w:r w:rsidRPr="00C543E1">
        <w:rPr>
          <w:rFonts w:ascii="Times New Roman" w:hAnsi="Times New Roman"/>
          <w:sz w:val="24"/>
          <w:szCs w:val="24"/>
          <w:lang w:eastAsia="pl-PL"/>
        </w:rPr>
        <w:t xml:space="preserve"> Prawo zamówień publicznych (</w:t>
      </w:r>
      <w:r w:rsidRPr="00C543E1">
        <w:rPr>
          <w:rFonts w:ascii="Times New Roman" w:hAnsi="Times New Roman"/>
          <w:sz w:val="24"/>
          <w:szCs w:val="24"/>
        </w:rPr>
        <w:t>Dz. U. z</w:t>
      </w:r>
      <w:r w:rsidR="00094E11">
        <w:rPr>
          <w:rFonts w:ascii="Times New Roman" w:hAnsi="Times New Roman"/>
          <w:sz w:val="24"/>
          <w:szCs w:val="24"/>
        </w:rPr>
        <w:t xml:space="preserve"> </w:t>
      </w:r>
      <w:r w:rsidRPr="00C543E1">
        <w:rPr>
          <w:rFonts w:ascii="Times New Roman" w:hAnsi="Times New Roman"/>
          <w:sz w:val="24"/>
          <w:szCs w:val="24"/>
        </w:rPr>
        <w:t>2022</w:t>
      </w:r>
      <w:r w:rsidR="00094E11">
        <w:rPr>
          <w:rFonts w:ascii="Times New Roman" w:hAnsi="Times New Roman"/>
          <w:sz w:val="24"/>
          <w:szCs w:val="24"/>
        </w:rPr>
        <w:t xml:space="preserve"> </w:t>
      </w:r>
      <w:r w:rsidRPr="00C543E1">
        <w:rPr>
          <w:rFonts w:ascii="Times New Roman" w:hAnsi="Times New Roman"/>
          <w:sz w:val="24"/>
          <w:szCs w:val="24"/>
        </w:rPr>
        <w:t>r. poz. 1710, z późn. zm.), zwanej dalej „ustawą Pzp”;</w:t>
      </w:r>
    </w:p>
    <w:p w14:paraId="2910BC16" w14:textId="77777777" w:rsidR="00F9038A" w:rsidRPr="00C543E1" w:rsidRDefault="00F9038A" w:rsidP="00530A3D">
      <w:pPr>
        <w:numPr>
          <w:ilvl w:val="0"/>
          <w:numId w:val="1"/>
        </w:numPr>
        <w:suppressAutoHyphens/>
        <w:autoSpaceDE w:val="0"/>
        <w:autoSpaceDN w:val="0"/>
        <w:adjustRightInd w:val="0"/>
        <w:spacing w:after="0" w:line="360" w:lineRule="auto"/>
        <w:ind w:left="510" w:hanging="510"/>
        <w:jc w:val="both"/>
        <w:rPr>
          <w:rFonts w:ascii="Times New Roman" w:eastAsia="Times New Roman" w:hAnsi="Times New Roman"/>
          <w:b/>
          <w:sz w:val="24"/>
          <w:szCs w:val="24"/>
          <w:lang w:eastAsia="pl-PL"/>
        </w:rPr>
      </w:pPr>
      <w:r w:rsidRPr="00C543E1">
        <w:rPr>
          <w:rFonts w:ascii="Times New Roman" w:eastAsia="Times New Roman" w:hAnsi="Times New Roman"/>
          <w:sz w:val="24"/>
          <w:szCs w:val="24"/>
          <w:lang w:eastAsia="pl-PL"/>
        </w:rPr>
        <w:t>ustawie z dnia 13 lutego 2020 r. o Państwowej Inspekcji Ochrony Roślin i Nasiennictwa (Dz. U. z 2021 r. poz. 147, z późn. zm.);</w:t>
      </w:r>
    </w:p>
    <w:p w14:paraId="020C6DA4" w14:textId="77777777" w:rsidR="00F9038A" w:rsidRPr="00C543E1" w:rsidRDefault="00F9038A" w:rsidP="00530A3D">
      <w:pPr>
        <w:numPr>
          <w:ilvl w:val="0"/>
          <w:numId w:val="1"/>
        </w:numPr>
        <w:suppressAutoHyphens/>
        <w:autoSpaceDE w:val="0"/>
        <w:autoSpaceDN w:val="0"/>
        <w:adjustRightInd w:val="0"/>
        <w:spacing w:after="0" w:line="360" w:lineRule="auto"/>
        <w:ind w:left="510" w:hanging="510"/>
        <w:jc w:val="both"/>
        <w:rPr>
          <w:rFonts w:ascii="Times New Roman" w:eastAsia="Times New Roman" w:hAnsi="Times New Roman"/>
          <w:b/>
          <w:sz w:val="24"/>
          <w:szCs w:val="24"/>
          <w:lang w:eastAsia="pl-PL"/>
        </w:rPr>
      </w:pPr>
      <w:r w:rsidRPr="00C543E1">
        <w:rPr>
          <w:rFonts w:ascii="Times New Roman" w:eastAsia="Times New Roman" w:hAnsi="Times New Roman"/>
          <w:sz w:val="24"/>
          <w:szCs w:val="24"/>
          <w:lang w:eastAsia="pl-PL"/>
        </w:rPr>
        <w:t>ustawie z dnia 2 marca 2020 r. o szczególnych rozwiązaniach związanych z zapobieganiem, przeciwdziałaniem i zwalczaniem COVID-19, innych chorób zakaźnych oraz wywołanych nimi sytuacji kryzysowych (Dz. U. z 2021 r. poz. 2095, z późn. zm.).</w:t>
      </w:r>
    </w:p>
    <w:p w14:paraId="31D6D14B" w14:textId="77777777" w:rsidR="00F9038A" w:rsidRPr="00C543E1" w:rsidRDefault="00F9038A" w:rsidP="00530A3D">
      <w:pPr>
        <w:numPr>
          <w:ilvl w:val="0"/>
          <w:numId w:val="1"/>
        </w:numPr>
        <w:suppressAutoHyphens/>
        <w:autoSpaceDE w:val="0"/>
        <w:autoSpaceDN w:val="0"/>
        <w:adjustRightInd w:val="0"/>
        <w:spacing w:after="0" w:line="360" w:lineRule="auto"/>
        <w:ind w:left="510" w:hanging="510"/>
        <w:jc w:val="both"/>
        <w:rPr>
          <w:rFonts w:ascii="Times New Roman" w:eastAsia="Times New Roman" w:hAnsi="Times New Roman"/>
          <w:b/>
          <w:sz w:val="24"/>
          <w:szCs w:val="24"/>
          <w:lang w:eastAsia="pl-PL"/>
        </w:rPr>
      </w:pPr>
      <w:r w:rsidRPr="00C543E1">
        <w:rPr>
          <w:rFonts w:ascii="Times New Roman" w:eastAsia="Times New Roman" w:hAnsi="Times New Roman"/>
          <w:sz w:val="24"/>
          <w:szCs w:val="24"/>
          <w:lang w:eastAsia="pl-PL"/>
        </w:rPr>
        <w:t>ustawie z dnia 23 czerwca 2022 r. o rolnictwie ekologicznym i produkcji ekologicznej (Dz. U. poz. 1370);</w:t>
      </w:r>
    </w:p>
    <w:p w14:paraId="1928043D" w14:textId="77777777" w:rsidR="00F9038A" w:rsidRPr="00C543E1" w:rsidRDefault="00F9038A" w:rsidP="00530A3D">
      <w:pPr>
        <w:numPr>
          <w:ilvl w:val="0"/>
          <w:numId w:val="1"/>
        </w:numPr>
        <w:suppressAutoHyphens/>
        <w:autoSpaceDE w:val="0"/>
        <w:autoSpaceDN w:val="0"/>
        <w:adjustRightInd w:val="0"/>
        <w:spacing w:after="0" w:line="360" w:lineRule="auto"/>
        <w:ind w:left="510" w:hanging="510"/>
        <w:jc w:val="both"/>
        <w:rPr>
          <w:rFonts w:ascii="Times New Roman" w:eastAsia="Times New Roman" w:hAnsi="Times New Roman"/>
          <w:b/>
          <w:sz w:val="24"/>
          <w:szCs w:val="24"/>
          <w:lang w:eastAsia="pl-PL"/>
        </w:rPr>
      </w:pPr>
      <w:r w:rsidRPr="00C543E1">
        <w:rPr>
          <w:rFonts w:ascii="Times New Roman" w:eastAsia="Times New Roman" w:hAnsi="Times New Roman"/>
          <w:sz w:val="24"/>
          <w:szCs w:val="24"/>
          <w:lang w:eastAsia="pl-PL"/>
        </w:rPr>
        <w:t>ustawie z dnia 4 listopada 2022 r. o systemie identyfikacji i rejestracji zwierząt (Dz. U. poz. 2727).</w:t>
      </w:r>
    </w:p>
    <w:p w14:paraId="2F376869"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sz w:val="24"/>
          <w:szCs w:val="24"/>
          <w:lang w:eastAsia="pl-PL"/>
        </w:rPr>
        <w:t xml:space="preserve">Najważniejsze zmiany dotyczą </w:t>
      </w:r>
      <w:r w:rsidRPr="00530A3D">
        <w:rPr>
          <w:rFonts w:ascii="Times New Roman" w:eastAsia="Times New Roman" w:hAnsi="Times New Roman"/>
          <w:sz w:val="24"/>
          <w:szCs w:val="24"/>
          <w:lang w:eastAsia="pl-PL"/>
        </w:rPr>
        <w:t xml:space="preserve">ustawy z dnia 6 grudnia 2006 r. o zasadach prowadzenia polityki rozwoju, ustawy z dnia 9 maja 2008 r. o Agencji Restrukturyzacji i Modernizacji Rolnictwa oraz </w:t>
      </w:r>
      <w:r w:rsidRPr="00530A3D">
        <w:rPr>
          <w:rFonts w:ascii="Times New Roman" w:hAnsi="Times New Roman"/>
          <w:sz w:val="24"/>
          <w:szCs w:val="24"/>
        </w:rPr>
        <w:t>ustawy z dnia 20 lutego 2015 r. o rozwoju lokalnym z udziałem lokalnej społeczności, zwanej dalej „ustawą o RLKS”.</w:t>
      </w:r>
    </w:p>
    <w:p w14:paraId="7BAD4C39"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Rozdział 1. Przepisy ogólne (art. 1–5)</w:t>
      </w:r>
    </w:p>
    <w:p w14:paraId="42521CD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Przepisy ogólne określające zakres spraw uregulowanych w projekcie ustawy oraz objaśnienia użytych w projektowanej ustawie pojęć.</w:t>
      </w:r>
    </w:p>
    <w:p w14:paraId="632A5BB8"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Projekt ustawy wskazuje, że będzie ona określała zadania oraz właściwość organów i jednostek organizacyjnych w zakresie dotyczącym realizacji Planu Strategicznego, warunki i tryb </w:t>
      </w:r>
      <w:r w:rsidRPr="00C543E1">
        <w:rPr>
          <w:rFonts w:ascii="Times New Roman" w:eastAsia="Times New Roman" w:hAnsi="Times New Roman"/>
          <w:sz w:val="24"/>
          <w:szCs w:val="24"/>
          <w:lang w:eastAsia="pl-PL"/>
        </w:rPr>
        <w:lastRenderedPageBreak/>
        <w:t>przyznawania i wypłaty pomocy oraz pomocy technicznej i zasady wdrażania instrumentów finansowych.</w:t>
      </w:r>
    </w:p>
    <w:p w14:paraId="6B0D9156" w14:textId="18A8DA25"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Kierując się potrzebą podniesienia skuteczności interpretacji ogólnych pojęć związanych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realizacją Planu Strategicznego, a także w celu zapewnienia czytelności i jednoznaczności regulacji ustawowych, zaproponowano definicje najważniejszych pojęć.</w:t>
      </w:r>
    </w:p>
    <w:p w14:paraId="028D74E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Zestawiono określenia używane w ustawie z ich wyjaśnieniami. Część definicji została ustanowiona na poziomie unijnym, tj. w art. 3 i art. 4 rozporządzenia 2021/2115. Przy czym niektóre definicje mają charakter ramowy (np. „działalność rolnicza”, „użytek rolny”, „kwalifikujący się hektar”, „rolnik aktywny zawodowo”, „młody rolnik”), a państwom członkowskim UE przyznano pewną elastyczność w zakresie ich doprecyzowania. W przypadku „gruntu ornego”, „upraw trwałych” i „trwałych użytków zielonych” definicje tych pojęć skonstruowano z zachowaniem elementów zawartych w przepisach art. 4 ust. 3 rozporządzenia 2021/2115. </w:t>
      </w:r>
    </w:p>
    <w:p w14:paraId="07C966C2" w14:textId="0CCAF22D"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motywem 12 preambuły rozporządzenia 2021/2115 pozostawiono państwom członkowskim swobodę w zakresie zdefiniowania szkółek i zagajników o krótkiej rotacji (zaliczanych do upraw trwałych). W związku z powyższym zaproponowano, aby definicja szkółki odzwierciedlała, co do zasady, rozwiązania dotychczas obowiązujące w rozporządzeniu nr 1307/2013. Natomiast projektując definicję zagajników o krótkiej rotacji wzięto pod uwagę wytyczne zawarte w załączniku I rozporządzenia wykonawczego Komisji (UE) 2021/2289 z dnia 21 grudnia 2021 r. ustanawiającego zasady stosowania rozporządzenia Parlamentu Europejskiego i Rady (UE) 2021/2115 w sprawie prezentacji treści planów strategicznych WPR oraz w sprawie elektronicznego systemu bezpiecznej wymiany informacji (Dz. Urz. UE L 458 z 22.12.2021, str. 463, z późn. zm.), zgodnie z którymi obejmuje ona co najmniej cykl zbiorów, wykaz gatunków lub kategorii roślin oraz gęstość obsady. W związku z powyższym posłużono się dotychczas obowiązującą listą gatunków drzew, których uprawa stanowi zagajnik o krótkiej rotacji wraz z dotychczasowym cyklem ich zbiorów. Lista ta została określona na podstawie posiadanych danych o najpopularniejszych w Polsce tego typu uprawach po zasięgnięciu opinii jednostek naukowych (Instytutu Dendrologii PAN w Kórniku, Instytutu Uprawy Nawożenia i Gleboznawstwa PIB w Puławach oraz Instytutu</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Technologiczno-Przyrodniczego PIB z siedzibą w Falentach) na ten temat. Gęstość obsady określono na podstawie opinii Instytutu Uprawy Nawożenia i Gleboznawstwa PIB w Puławach, Instytutu Hodowli i Aklimatyzacji Roślin PIB w Radzikowie oraz Instytutu Ochrony Roślin PIB w Poznaniu.</w:t>
      </w:r>
    </w:p>
    <w:p w14:paraId="5477C87D"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W przypadku pojęcia „rolnik” definicję zawartą w przepisach unijnych uszczegółowiono, zawężając lokalizację gospodarstwa do terytorium Rzeczypospolitej Polskiej.</w:t>
      </w:r>
    </w:p>
    <w:p w14:paraId="12535419"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art. 8, art. 107 ust. 1 lit. b, art. 109 ust.</w:t>
      </w:r>
      <w:r w:rsidR="00853C16">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1 lit. b oraz art. 111 lit. a rozporządzenia 2021/2115 Plan Strategiczny, który został w dniu 31 sierpnia 2022 r. zatwierdzony przez KE, określa interwencje, które Polska zdecydowała się wdrażać. Z tego względu nie jest konieczne określenie wszystkich tych interwencji w projektowanej ustawie. Takie podejście ograniczy liczbę zmian projektowanej ustawy w związku ze zmianami Planu Strategicznego polegającymi na wprowadzaniu nowych interwencji oraz umożliwi szybsze ich wdrażanie.</w:t>
      </w:r>
    </w:p>
    <w:p w14:paraId="21CDEE78"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Projektowane przepisy określają system obowiązywania hierarchii aktów prawnych. Zasady dotyczące rozwoju lokalnego kierowanego przez społeczność, co do zasady, regulowane są w przepisach ustawy o RLKS, a w zakresie nieuregulowanym w tych przepisach – w projektowanej ustawie. Ustawa o RLKS jest nadrzędną ustawą w zakresie wdrażania Rozwoju Lokalnego Kierowanego przez Społeczność (RLKS) w ramach poszczególnych funduszy, a projektowana ustawa regulująca zasady udzielania wsparcia dla WPR ze środków EFRROW będzie miała zastosowanie w zakresie, w jakim dany obszar nie będzie uregulowany w ustawie o RLKS.</w:t>
      </w:r>
    </w:p>
    <w:p w14:paraId="74422B96"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związku z możliwymi interpretacjami dotyczącymi podstaw realizacji Planu Strategicznego uznano za konieczne określenie tych podstaw i zaproponowano, aby podstawę systemu realizacji Planu Strategicznego stanowiły jego postanowienia, przepisy prawa powszechnie obowiązującego, wytyczne IZ oraz regulaminy naborów wniosków o przyznanie pomocy. Takie doprecyzowanie ma zapobiec różnym interpretacjom podstaw prawnych ze strony krajowych sądów administracyjnych. W orzecznictwie sądowym bazującym na przepisach ustawy z dnia 11 lipca 2014 r. o zasadach realizacji programów w zakresie polityki spójności finansowanych w perspektywie finansowej 2014–2020 (Dz. U. z 2020 r. poz. 818) ugruntowany jest pogląd, że „Dokumenty składające się na system realizacji programu operacyjnego są źródłami prawa administracyjnego w szerokim znaczeniu, bowiem zawierają określone regulacje (normy) obowiązujące zarówno instytucje (na które ustawodawca nałożył określone obowiązki oraz uprawnienia), jak i podmioty decydujące się na wystąpienie ze stosownym wnioskiem” (por. wyrok NSA z dnia 18 listopada 2010 r., sygn. akt II GSK 1252/10; wyrok WSA w Białymstoku z dnia 5 lipca 2018 r., sygn. akt I SA/Bk 331/18). W wyroku z dnia 30 sierpnia 2017 r. sygn. akt II GSK 2168/17 NSA wskazał, że „Dokumentom systemu realizacji programu operacyjnego, o których mowa w art. 6 ust. 1 ustawy z 2014 r. o zasadach realizacji programów w zakresie polityki spójności finansowanych w perspektywie finansowej 2014–</w:t>
      </w:r>
      <w:r w:rsidRPr="00C543E1">
        <w:rPr>
          <w:rFonts w:ascii="Times New Roman" w:eastAsia="Times New Roman" w:hAnsi="Times New Roman"/>
          <w:sz w:val="24"/>
          <w:szCs w:val="24"/>
          <w:lang w:eastAsia="pl-PL"/>
        </w:rPr>
        <w:lastRenderedPageBreak/>
        <w:t>2020 można przyznać walor źródła prawa (w szerokim znaczeniu), jako że system ten ma swoje umocowanie w ustawie, zaś jego normy mają generalny charakter i są skierowane do nieokreślonego kręgu adresatów. W szczególności regulamin konkursu jest dokumentem systemu realizacji (art. 6 ust. 2 ustawy wdrożeniowej). Treść regulaminu nie może być sprzeczna z przepisami prawa powszechnie obowiązującego.”.</w:t>
      </w:r>
    </w:p>
    <w:p w14:paraId="298F09F6"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Określono, że do postępowań w sprawach indywidualnych rozstrzyganych w drodze decyzji administracyjnej stosuje się przepisy ustawy z dnia 14 czerwca 1960 r. – Kodeks postępowania administracyjnego (Dz. U. z 2022 r. poz. 2000, z późn. zm.), zwanej dalej „Kpa”, chyba, że projektowana ustawa stanowi inaczej.</w:t>
      </w:r>
    </w:p>
    <w:p w14:paraId="6F7DEE91" w14:textId="77777777" w:rsidR="00F9038A" w:rsidRPr="00C543E1" w:rsidRDefault="00F9038A">
      <w:pPr>
        <w:autoSpaceDE w:val="0"/>
        <w:autoSpaceDN w:val="0"/>
        <w:adjustRightInd w:val="0"/>
        <w:spacing w:before="120" w:after="0" w:line="360" w:lineRule="auto"/>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Rozdział 2. System instytucjonalny (art. 6</w:t>
      </w:r>
      <w:r w:rsidRPr="00C543E1">
        <w:rPr>
          <w:rFonts w:ascii="Times New Roman" w:hAnsi="Times New Roman"/>
          <w:b/>
          <w:sz w:val="24"/>
          <w:szCs w:val="24"/>
        </w:rPr>
        <w:t>–</w:t>
      </w:r>
      <w:r w:rsidRPr="00C543E1">
        <w:rPr>
          <w:rFonts w:ascii="Times New Roman" w:eastAsia="Times New Roman" w:hAnsi="Times New Roman"/>
          <w:b/>
          <w:sz w:val="24"/>
          <w:szCs w:val="24"/>
          <w:lang w:eastAsia="pl-PL"/>
        </w:rPr>
        <w:t>14)</w:t>
      </w:r>
    </w:p>
    <w:p w14:paraId="4D362676" w14:textId="77777777" w:rsidR="00F9038A" w:rsidRPr="00C543E1" w:rsidRDefault="00F9038A" w:rsidP="00530A3D">
      <w:pPr>
        <w:autoSpaceDE w:val="0"/>
        <w:autoSpaceDN w:val="0"/>
        <w:adjustRightInd w:val="0"/>
        <w:spacing w:before="120" w:after="0" w:line="360" w:lineRule="auto"/>
        <w:jc w:val="both"/>
        <w:rPr>
          <w:rFonts w:ascii="Times New Roman" w:hAnsi="Times New Roman"/>
          <w:sz w:val="24"/>
          <w:szCs w:val="24"/>
        </w:rPr>
      </w:pPr>
      <w:r w:rsidRPr="00C543E1">
        <w:rPr>
          <w:rFonts w:ascii="Times New Roman" w:eastAsia="Times New Roman" w:hAnsi="Times New Roman"/>
          <w:sz w:val="24"/>
          <w:szCs w:val="24"/>
          <w:lang w:eastAsia="pl-PL"/>
        </w:rPr>
        <w:t>Zasadniczy podział zadań w ramach realizacji Planu Strategicznego został uregulowany w przepisach rozporządzenia 2021/2115 oraz przepisach rozporządzenia 2021/2116. Ponadto został on określony w Planie Strategicznym. Zadania IZ zgodnie z projektowaną ustawą będzie wykonywał minister właściwy do spraw rozwoju wsi. Określono także zakres zadań IZ, który nie wynika wprost z przepisów ww. rozporządzeń, a także zakres zadań IZ, jakie będą wykonywać instytucje pośredniczące, których funkcje będą pełniły samorządy województw – w zakresie rozwoju lokalnego kierowanego przez społeczność dotyczące powołania komisji odpowiedzialnej za dokonanie wyboru strategii rozwoju lokalnego kierowanego przez społeczność, zwanych dalej „LSR”, o którym mowa w art. 31 ust. 2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późn. zm.), zwanego dalej „rozporządzeniem 2021/1060”, oraz dotyczące zatwierdzania LSR wybranych przez tę komisję, o których mowa w art. 32 rozporządzenia 2021/1060.</w:t>
      </w:r>
    </w:p>
    <w:p w14:paraId="316E6B63"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zakresie zadań ministra właściwego do spraw rozwoju wsi jako IZ zaproponowano wykonywanie zadań państwa członkowskiego UE nieprzewidzianych do wykonania przez inne organy lub jednostki organizacyjne, w szczególności dotyczących monitorowania i ewaluacji Planu Strategicznego. </w:t>
      </w:r>
    </w:p>
    <w:p w14:paraId="741A8BBB" w14:textId="16C320E6"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Zaproponowano również możliwość powoływania organów opiniodawczo-doradczych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sprawach należących do zadań i kompetencji IZ. W składzie tych organów przewidziano przedstawicieli agencji płatniczej, instytucji pośredniczących, podmiotów wdrażających oraz inne osoby, których udział w pracach organu jest uzasadniony zakresem zadań tych organów. </w:t>
      </w:r>
    </w:p>
    <w:p w14:paraId="396F6BD0"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Przewiduje się odpowiednio, wzorem programów realizowanych w zakresie polityki spójności, szersze niż dotychczas wykorzystanie wytycznych IZ jako miejsca określania wymogów mających zastosowanie przy realizacji Planu Strategicznego. Pozwoli to uprościć system realizacji Planu Strategicznego, zapewnić lepsze zrozumienie przez podmioty obowiązane do stosowania wytycznych zasad jego realizacji oraz na elastyczne podejście do wprowadzania niezbędnych zmian. Z tego względu w projektowanej ustawie założono, że zadaniem IZ będzie wydawanie agencji płatniczej, podmiotom wdrażającym, podmiotowi wdrażającemu instrumenty finansowe, instytucjom pośredniczącym, lokalnym grupom działania (LGD), powiatowym lekarzom weterynarii oraz beneficjentom wytycznych w zakresie realizacji Planu Strategicznego. Wytyczne nie mogą dotyczyć rozstrzygnięcia co do istoty sprawy indywidualnej.</w:t>
      </w:r>
    </w:p>
    <w:p w14:paraId="0287CD2E"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Określono również możliwość przeprowadzania przez IZ kontroli agencji płatniczej, podmiotów wdrażających, instytucji pośredniczących i LGD oraz żądania przedstawienia przez te podmioty informacji i udostępnienia dokumentów w zakresie realizowanych przez nie zadań związanych z realizacją Planu Strategicznego.</w:t>
      </w:r>
    </w:p>
    <w:p w14:paraId="2ED6FD2F"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Kontrole w ramach systemu instytucjonalnego będą przeprowadzane pod względem zgodności z postanowieniami Planu Strategicznego, przepisami prawa powszechnie obowiązującego, wytycznymi oraz regulaminami naborów wniosków o przyznanie pomocy i </w:t>
      </w:r>
      <w:r w:rsidRPr="00530A3D">
        <w:rPr>
          <w:rFonts w:ascii="Times New Roman" w:hAnsi="Times New Roman"/>
          <w:sz w:val="24"/>
          <w:szCs w:val="24"/>
        </w:rPr>
        <w:t>–</w:t>
      </w:r>
      <w:r w:rsidRPr="00C543E1">
        <w:rPr>
          <w:rFonts w:ascii="Times New Roman" w:hAnsi="Times New Roman"/>
          <w:b/>
          <w:sz w:val="24"/>
          <w:szCs w:val="24"/>
        </w:rPr>
        <w:t xml:space="preserve"> </w:t>
      </w:r>
      <w:r w:rsidRPr="00C543E1">
        <w:rPr>
          <w:rFonts w:ascii="Times New Roman" w:eastAsia="Times New Roman" w:hAnsi="Times New Roman"/>
          <w:sz w:val="24"/>
          <w:szCs w:val="24"/>
          <w:lang w:eastAsia="pl-PL"/>
        </w:rPr>
        <w:t xml:space="preserve">z uwagi na ich specyfikę </w:t>
      </w:r>
      <w:r w:rsidRPr="00530A3D">
        <w:rPr>
          <w:rFonts w:ascii="Times New Roman" w:hAnsi="Times New Roman"/>
          <w:sz w:val="24"/>
          <w:szCs w:val="24"/>
        </w:rPr>
        <w:t xml:space="preserve">– </w:t>
      </w:r>
      <w:r w:rsidRPr="00C543E1">
        <w:rPr>
          <w:rFonts w:ascii="Times New Roman" w:eastAsia="Times New Roman" w:hAnsi="Times New Roman"/>
          <w:sz w:val="24"/>
          <w:szCs w:val="24"/>
          <w:lang w:eastAsia="pl-PL"/>
        </w:rPr>
        <w:t>do tych kontroli będą stosowane odpowiednio przepisy o kontroli w administracji rządowej określające zasady i tryb przeprowadzania kontroli.</w:t>
      </w:r>
    </w:p>
    <w:p w14:paraId="08BBB2A5"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Zakłada się, że ww. wytyczne dotyczą:</w:t>
      </w:r>
    </w:p>
    <w:p w14:paraId="23C121C2"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warunków przyznawania, wypłaty lub zwrotu pomocy lub pomocy technicznej;</w:t>
      </w:r>
    </w:p>
    <w:p w14:paraId="4338E3B2"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trybu przyznawania lub wypłaty pomocy lub pomocy technicznej;</w:t>
      </w:r>
    </w:p>
    <w:p w14:paraId="788403CB"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warunków i trybu wypłaty pomocy w formie zaliczki, o której mowa w art. 44 ust. 3 rozporządzenia 2021/2116, oraz rozliczania tej zaliczki;</w:t>
      </w:r>
    </w:p>
    <w:p w14:paraId="7B9284AB"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zobowiązań związanych z przyznaną pomocą lub pomocą techniczną;</w:t>
      </w:r>
    </w:p>
    <w:p w14:paraId="3EF89320"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kwalifikowalności kosztów;</w:t>
      </w:r>
    </w:p>
    <w:p w14:paraId="613107F7"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kontroli na miejscu;</w:t>
      </w:r>
    </w:p>
    <w:p w14:paraId="310B8AAA"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lastRenderedPageBreak/>
        <w:t>zakresu danych niezbędnych do właściwego monitorowania realizacji i ewaluacji Planu Strategicznego, w tym zawartości rocznego sprawozdania z realizacji celów oraz informacji przekazywanych Komisji Europejskiej, o których mowa w art. 8 rozporządzenia wykonawczego Komisji (UE) 2022/1475 z dnia 6 września 2022 r. ustanawiającego szczegółowe zasady wdrażania rozporządzenia Parlamentu Europejskiego i Rady (UE) 2021/2115 w odniesieniu do ewaluacji planów strategicznych WPR oraz dostarczania informacji na potrzeby monitorowania i ewaluacji (Dz. Urz. UE L 232 z 07.09.2022, str. 8), a także sposobu przekazywania tych danych i informacji;</w:t>
      </w:r>
    </w:p>
    <w:p w14:paraId="22D35FDF"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wysokości limitów środków dostępnych w poszczególnych województwach lub latach lub rodzajach operacji w ramach danej interwencji;</w:t>
      </w:r>
    </w:p>
    <w:p w14:paraId="2211A5C3" w14:textId="77777777" w:rsidR="00F9038A" w:rsidRPr="00C543E1" w:rsidRDefault="00F9038A" w:rsidP="00530A3D">
      <w:pPr>
        <w:numPr>
          <w:ilvl w:val="0"/>
          <w:numId w:val="7"/>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innych kwestii związanych z realizacją Planu Strategicznego lub zakończeniem jego realizacji.</w:t>
      </w:r>
    </w:p>
    <w:p w14:paraId="1A10E2B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Zaproponowano, aby projekt wytycznych i ich zmian podlegał opiniowaniu przez agencję płatniczą, ministra właściwego do spraw finansów publicznych oraz inne podmioty, jeżeli opiniowanie wytycznych jest uzasadnione zakresem zadań tych podmiotów, w szczególności przez instytucje pośredniczące i podmioty wdrażające. Ponadto w projektowanej ustawie wskazano, że projekt wytycznych będzie również podlegał opiniowaniu przez Głównego Lekarza Weterynarii, w przypadku gdy wytyczne te będą dotyczyły zadań realizowanych przez powiatowych lekarzy weterynarii.</w:t>
      </w:r>
    </w:p>
    <w:p w14:paraId="14D634CA" w14:textId="60B958AD"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Wytyczne IZ w zakresie warunków i trybu wypłaty pomocy w formie zaliczki, o której mowa w art. 44 ust. 3 rozporządzenia 2021/2116, oraz rozliczania tej zaliczki, będą wydawane w uzgodnieniu z ministrem właściwym do spraw finansów publicznych.</w:t>
      </w:r>
    </w:p>
    <w:p w14:paraId="78B3E69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projektowanej ustawie określono termin wyznaczony do zaopiniowania projektu wytycznych oraz skutek nieprzedstawienia opinii, a także zaproponowano, aby wytyczne oraz ich zmiany były podawane do wiadomości publicznej na stronie internetowej IZ, a komunikat o miejscu publikacji wytycznych oraz ich zmian był ogłaszany w Dzienniku Urzędowym Rzeczypospolitej Polskiej „Monitor Polski”. Zaproponowano, że wyznaczenie terminu na przedstawienie opinii krótszego niż 14 dni będzie wymagać szczegółowego uzasadnienia.</w:t>
      </w:r>
    </w:p>
    <w:p w14:paraId="28A264C8"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proponuje się regulacje w zakresie uznawania systemów jakości za krajowe. Obecnie w polskim porządku prawnym podstawą uznawania przez ministra właściwego do spraw rozwoju wsi systemów jakości żywności za krajowe jest art. 15 ust. 2 ustawy o PROW 2014–2020.</w:t>
      </w:r>
    </w:p>
    <w:p w14:paraId="79012764"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Kryteria uznawania systemów jakości za krajowe, do których odnosi ww. artykuł ustawy o PROW 2014–2020, zostały określone w art. 16 ust. 1 lit. b rozporządzenia Parlamentu Europejskiego i Rady (UE) nr 1305/2013 z dnia 17 grudnia 2013 r. w sprawie wsparcia rozwoju obszarów wiejskich przez Europejski Fundusz Rolny na rzecz Rozwoju Obszarów Wiejskich (EFRROW) i uchylającego rozporządzenie Rady (WE) nr 1698/2006 (Dz. Urz. UE L 347 z 20.12.2013, str. 487, z późn. zm.), zwanego dalej „rozporządzeniem (UE) nr 1305/2013”. Przepis ten został uchylony wraz z wejściem w życie rozporządzenia 2021/2115.</w:t>
      </w:r>
    </w:p>
    <w:p w14:paraId="3C512642"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Wymagania, jakie powinny spełniać systemy jakości żywności uznane przez państwa członkowskie (analogiczne do uchylonego rozporządzenia (UE) nr 1305/2013), zostały określone w art. 47 lit. a rozporządzenia delegowanego Komisji (UE) 2022/126 z dnia 7 grudnia 2021 r. uzupełniającego rozporządzenie Parlamentu Europejskiego i Rady (UE) 2021/2115 o dodatkowe wymogi w odniesieniu do niektórych rodzajów interwencji określonych przez państwa członkowskie w ich planach strategicznych WPR na lata 2023–2027 na podstawie tego rozporządzenia, jak również o przepisy dotyczące współczynnika dotyczącego normy dobrej kultury rolnej zgodnej z ochroną środowiska (GAEC) nr 1 (Dz. Urz. UE L 20 z 31.01.2022, str. 52), zwanego dalej „rozporządzeniem 2022/126”.</w:t>
      </w:r>
    </w:p>
    <w:p w14:paraId="1035806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Konieczne jest wprowadzenie do polskiego porządku prawego przepisów, które będą uwzględniać aktualny stan prawny uregulowany na gruncie przepisów UE w zakresie uznawania systemów jakości za krajowe. </w:t>
      </w:r>
    </w:p>
    <w:p w14:paraId="6F8CB641"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projektowanym rozdziale wskazano również, że zadania w zakresie zapewnienia:</w:t>
      </w:r>
    </w:p>
    <w:p w14:paraId="0438C198" w14:textId="418BC4C2" w:rsidR="00F9038A" w:rsidRPr="00C543E1" w:rsidRDefault="00F9038A" w:rsidP="00530A3D">
      <w:pPr>
        <w:numPr>
          <w:ilvl w:val="0"/>
          <w:numId w:val="14"/>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elektronicznego system informacyjnego, w</w:t>
      </w:r>
      <w:r w:rsidRPr="00530A3D">
        <w:rPr>
          <w:rFonts w:ascii="Times New Roman" w:hAnsi="Times New Roman"/>
          <w:sz w:val="24"/>
          <w:szCs w:val="24"/>
        </w:rPr>
        <w:t xml:space="preserve"> </w:t>
      </w:r>
      <w:r w:rsidRPr="00C543E1">
        <w:rPr>
          <w:rFonts w:ascii="Times New Roman" w:eastAsia="Times New Roman" w:hAnsi="Times New Roman"/>
          <w:sz w:val="24"/>
          <w:szCs w:val="24"/>
          <w:lang w:eastAsia="pl-PL"/>
        </w:rPr>
        <w:t>którym będą rejestrowane i przechowywane najważniejsze informacje na temat wdrażania Planu Strategicznego, które są potrzebne do monitorowania i ewaluacji,</w:t>
      </w:r>
    </w:p>
    <w:p w14:paraId="10679FF1" w14:textId="77777777" w:rsidR="00F9038A" w:rsidRPr="00C543E1" w:rsidRDefault="00F9038A" w:rsidP="00530A3D">
      <w:pPr>
        <w:numPr>
          <w:ilvl w:val="0"/>
          <w:numId w:val="14"/>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otrzymywania przez zainteresowanych rolników i innych beneficjentów jasnych i dokładnych informacji na temat podstawowych wymogów w zakresie zarządzania oraz minimalnych norm dobrej kultury rolnej zgodnej z ochroną środowiska, jak również na temat wymogów związanych z warunkowością społeczną, które należy stosować na poziomie gospodarstwa</w:t>
      </w:r>
    </w:p>
    <w:p w14:paraId="726F8B1B"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wykonuje ARiMR jako agencja płatnicza.</w:t>
      </w:r>
    </w:p>
    <w:p w14:paraId="3C38919B"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Wskazano agencję płatniczą jako podmiot odpowiedzialny za realizację zadań państwa członkowskiego dotyczących przekazywania KE informacji wskazanych w art. 8 lit. c–e rozporządzenia wykonawczego Komisji (UE) 2022/1475 z dnia 6 września 2022 r. </w:t>
      </w:r>
      <w:r w:rsidRPr="00C543E1">
        <w:rPr>
          <w:rFonts w:ascii="Times New Roman" w:eastAsia="Times New Roman" w:hAnsi="Times New Roman"/>
          <w:sz w:val="24"/>
          <w:szCs w:val="24"/>
          <w:lang w:eastAsia="pl-PL"/>
        </w:rPr>
        <w:lastRenderedPageBreak/>
        <w:t>ustanawiającego szczegółowe zasady wdrażania rozporządzenia Parlamentu Europejskiego i Rady (UE) 2021/2115 w odniesieniu do ewaluacji planów strategicznych WPR oraz dostarczania informacji na potrzeby monitorowania i ewaluacji.</w:t>
      </w:r>
    </w:p>
    <w:p w14:paraId="6136B874" w14:textId="10FA48D4"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Przepisy art. 51 ust. 1, art. 72 rozporządzenia 2021/2116 oraz przepisy załącznika I do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rozporządzenia delegowanego Komisji (UE) 2022/127 z dnia 7 grudnia 2021 r. uzupełniającego rozporządzenie Parlamentu Europejskiego i Rady (UE) 2021/2116 o przepisy dotyczące agencji płatniczych i</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innych organów, zarządzania finansami, rozliczania rachunków, zabezpieczeń oraz stosowania euro (Dz. Urz. UE L 20 z 31.01.2022, str. 95), zwanego dalej „rozporządzeniem 2022/127”, wskazują na agencję płatniczą lub podmioty, którym delegowała ona zadania, jako odpowiedzialne za przeprowadzanie kontroli. Z tego względu w art. 9 projektowanej ustawy zdefiniowano zakres zadań, które ARiMR, jako akredytowana agencja płatnicza, może delegować samorządom województw jako podmiotom wdrażającym zgodnie z pkt 1.D.1 załącznika I do rozporządzenia 2022/127.</w:t>
      </w:r>
    </w:p>
    <w:p w14:paraId="0B4F2F7B"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Takie rozwiązanie zapewnia jednoznaczny podział kompetencji.</w:t>
      </w:r>
    </w:p>
    <w:p w14:paraId="77DD4664"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 zadań, które agencja płatnicza może powierzyć podmiotom wdrażającym, należą w szczególności:</w:t>
      </w:r>
    </w:p>
    <w:p w14:paraId="7EE259D1" w14:textId="77777777" w:rsidR="00F9038A" w:rsidRPr="00C543E1" w:rsidRDefault="00F9038A" w:rsidP="00530A3D">
      <w:pPr>
        <w:numPr>
          <w:ilvl w:val="0"/>
          <w:numId w:val="5"/>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prowadzenie postępowań w sprawach o przyznanie lub o wypłatę pomocy, w tym:</w:t>
      </w:r>
    </w:p>
    <w:p w14:paraId="4C9CB1EB" w14:textId="77777777" w:rsidR="00F9038A" w:rsidRPr="00C543E1" w:rsidRDefault="00F9038A" w:rsidP="00530A3D">
      <w:pPr>
        <w:numPr>
          <w:ilvl w:val="0"/>
          <w:numId w:val="6"/>
        </w:numPr>
        <w:autoSpaceDE w:val="0"/>
        <w:autoSpaceDN w:val="0"/>
        <w:adjustRightInd w:val="0"/>
        <w:spacing w:after="0" w:line="360" w:lineRule="auto"/>
        <w:ind w:left="102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przeprowadzanie kontroli administracyjnych,</w:t>
      </w:r>
    </w:p>
    <w:p w14:paraId="32625C1D" w14:textId="77777777" w:rsidR="00F9038A" w:rsidRPr="00C543E1" w:rsidRDefault="00F9038A" w:rsidP="00530A3D">
      <w:pPr>
        <w:numPr>
          <w:ilvl w:val="0"/>
          <w:numId w:val="6"/>
        </w:numPr>
        <w:suppressAutoHyphens/>
        <w:autoSpaceDE w:val="0"/>
        <w:autoSpaceDN w:val="0"/>
        <w:adjustRightInd w:val="0"/>
        <w:spacing w:after="0" w:line="360" w:lineRule="auto"/>
        <w:ind w:left="102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dokonywanie wyboru operacji,</w:t>
      </w:r>
    </w:p>
    <w:p w14:paraId="027492EA" w14:textId="77777777" w:rsidR="00F9038A" w:rsidRPr="00C543E1" w:rsidRDefault="00F9038A" w:rsidP="00530A3D">
      <w:pPr>
        <w:numPr>
          <w:ilvl w:val="0"/>
          <w:numId w:val="6"/>
        </w:numPr>
        <w:autoSpaceDE w:val="0"/>
        <w:autoSpaceDN w:val="0"/>
        <w:adjustRightInd w:val="0"/>
        <w:spacing w:after="0" w:line="360" w:lineRule="auto"/>
        <w:ind w:left="102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zawieranie umów, na podstawie których jest przyznawana pomoc, informowanie o odmowie jej przyznania, rejestrowanie tych umów i informacji;</w:t>
      </w:r>
    </w:p>
    <w:p w14:paraId="4D34CE55" w14:textId="77777777" w:rsidR="00F9038A" w:rsidRPr="00C543E1" w:rsidRDefault="00F9038A" w:rsidP="00530A3D">
      <w:pPr>
        <w:numPr>
          <w:ilvl w:val="0"/>
          <w:numId w:val="5"/>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przeprowadzanie kontroli na miejscu;</w:t>
      </w:r>
    </w:p>
    <w:p w14:paraId="7DDC7CFA" w14:textId="77777777" w:rsidR="00F9038A" w:rsidRPr="00C543E1" w:rsidRDefault="00F9038A" w:rsidP="00530A3D">
      <w:pPr>
        <w:numPr>
          <w:ilvl w:val="0"/>
          <w:numId w:val="5"/>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ustalanie kwot pomocy podlegających zwrotowi i wzywanie beneficjenta do zwrotu tych kwot;</w:t>
      </w:r>
    </w:p>
    <w:p w14:paraId="0EB37B75" w14:textId="77777777" w:rsidR="00F9038A" w:rsidRPr="00C543E1" w:rsidRDefault="00F9038A" w:rsidP="00530A3D">
      <w:pPr>
        <w:numPr>
          <w:ilvl w:val="0"/>
          <w:numId w:val="5"/>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przechowywanie dokumentów związanych z wykonywaniem przez podmiot wdrażający zadań agencji płatniczej;</w:t>
      </w:r>
    </w:p>
    <w:p w14:paraId="1693FC11" w14:textId="77777777" w:rsidR="00F9038A" w:rsidRPr="00C543E1" w:rsidRDefault="00F9038A" w:rsidP="00530A3D">
      <w:pPr>
        <w:numPr>
          <w:ilvl w:val="0"/>
          <w:numId w:val="5"/>
        </w:numPr>
        <w:autoSpaceDE w:val="0"/>
        <w:autoSpaceDN w:val="0"/>
        <w:adjustRightInd w:val="0"/>
        <w:spacing w:after="0"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udostępnianie lub przekazywanie agencji płatniczej, IZ, KE lub innym organom upoważnionym do kontroli, dokumentów, o których mowa w pkt 4.</w:t>
      </w:r>
    </w:p>
    <w:p w14:paraId="4639D35E"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Określono również zasadnicze elementy umowy, na podstawie której podmioty wdrażające będą wykonywały delegowane im zadania.</w:t>
      </w:r>
    </w:p>
    <w:p w14:paraId="336EAA0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Zgodnie z przepisami pkt 1.D.1 załącznika I do rozporządzenia 2022/127 to na agencji płatniczej ciąży odpowiedzialność za skuteczne zarządzanie EFRG oraz EFRROW. Pozostaje </w:t>
      </w:r>
      <w:r w:rsidRPr="00C543E1">
        <w:rPr>
          <w:rFonts w:ascii="Times New Roman" w:eastAsia="Times New Roman" w:hAnsi="Times New Roman"/>
          <w:sz w:val="24"/>
          <w:szCs w:val="24"/>
          <w:lang w:eastAsia="pl-PL"/>
        </w:rPr>
        <w:lastRenderedPageBreak/>
        <w:t xml:space="preserve">ona w pełni odpowiedzialna za legalność i prawidłowość transakcji stanowiących ich podstawę, w tym ochronę interesów finansowych UE, jak również za deklarowanie KE stosownych wydatków i odpowiednie przygotowanie sprawozdania finansowego nawet w sytuacji, gdy cześć swoich zadań deleguje innemu podmiotowi. W projektowanej ustawie zaproponowano, aby niezbędne informacje na temat umowy zawartej przez agencję płatniczą z podmiotem wdrażającym były niezwłocznie po jej zawarciu publikowane przez agencję płatniczą na jej stronie internetowej. </w:t>
      </w:r>
    </w:p>
    <w:p w14:paraId="377D58BC"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Zaproponowano również możliwość powoływania organów opiniodawczo-doradczych przez agencję płatniczą w sprawach należących do jej zadań oraz przez podmiot wdrażający w sprawach należących do zadań agencji płatniczej delegowanych temu podmiotowi, w skład których mogą też wchodzić osoby niebędące pracownikami odpowiednio agencji płatniczej albo tego podmiotu. </w:t>
      </w:r>
    </w:p>
    <w:p w14:paraId="5EC1F2B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sposób ogólny uregulowano sprawy związane z obowiązkami m.in. IZ, agencji płatniczej, podmiotów wdrażających oraz beneficjentów w celu zapewnienia właściwego systemu monitorowania, sprawozdawczości i ewaluacji, o którym mowa w tytule VII rozporządzenia 2021/2115.</w:t>
      </w:r>
    </w:p>
    <w:p w14:paraId="518A6A0B"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Określono obowiązek IZ, agencji płatniczej, podmiotów wdrażających, podmiotu wdrażającego instrument finansowy, instytucji pośredniczących oraz LGD informowania i rozpowszechniania informacje o Planie Strategicznym, w tym o zasadach i trybie przyznania i wypłaty pomocy oraz o obowiązkach beneficjentów wynikających z przyznania tej pomocy, o zasadach i trybie przyznania i wypłaty przejściowego wsparcia krajowego oraz o obowiązkach beneficjentów wynikających z przyznania tego wsparcia.</w:t>
      </w:r>
    </w:p>
    <w:p w14:paraId="46130DF9"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celu umożliwienia właściwego przygotowania się i zaplanowania własnych działań przez podmioty ubiegające się o przyznanie pomocy, podmiot właściwy w sprawie o przyznanie pomocy będzie publikować do końca danego roku harmonogram naborów wniosków o przyznanie pomocy na kolejny rok. Określono również możliwość zmiany harmonogramu w przypadku konieczności jego aktualizacji oraz obowiązek niezwłocznej publikacji zmienionego harmonogramu.</w:t>
      </w:r>
    </w:p>
    <w:p w14:paraId="640BEB76"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Przepisów dotyczących harmonogramu naborów wniosków o przyznanie pomocy nie stosuje się do naborów wniosków o przyznanie pomocy ogłaszanych przez LGD, ponieważ zgodnie z art. 33 ust. 3 lit. c rozporządzenia 2021/1060 zadanie dotyczące przygotowywania i </w:t>
      </w:r>
      <w:r w:rsidRPr="00C543E1">
        <w:rPr>
          <w:rFonts w:ascii="Times New Roman" w:eastAsia="Times New Roman" w:hAnsi="Times New Roman"/>
          <w:sz w:val="24"/>
          <w:szCs w:val="24"/>
          <w:lang w:eastAsia="pl-PL"/>
        </w:rPr>
        <w:lastRenderedPageBreak/>
        <w:t>publikowania naborów wniosków jest zadaniem wykonywanym na zasadzie wyłączności przez LGD.</w:t>
      </w:r>
    </w:p>
    <w:p w14:paraId="3854FE2F"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Projektowana ustawa nawiązuje również w tym rozdziale do konieczności współpracy agencji płatniczej, podmiotów wdrażających, podmiotu wdrażającego instrument finansowy, instytucji pośredniczących, LGD, organów administracji rządowej i jednostek organizacyjnych podległych organom administracji rządowej lub przez nie nadzorowanych, a także organów samorządu terytorialnego przy realizacji zadań związanych z realizacją Planu Strategicznego.</w:t>
      </w:r>
    </w:p>
    <w:p w14:paraId="2FA835A1"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3. Przepisy ogólne dotyczące pomocy (art. 15–19)</w:t>
      </w:r>
    </w:p>
    <w:p w14:paraId="631E322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Warunki ogólne przyznawania pomocy, w tym w szczególności zakres podmiotowy wsparcia przewidzianego w ramach Planu Strategicznego, zostały określone w przepisach rozporządzenia 2021/2115 oraz w Planie Strategicznym (zgodnie z wymogami określonymi w przepisach rozporządzenia 2021/2115).</w:t>
      </w:r>
    </w:p>
    <w:p w14:paraId="187826F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tym rozdziale w zakresie wspólnym dla wszystkich interwencji zaproponowano regulacje dotyczące warunków przyznania pomocy oraz przewidziano dwie drogi przyznawania pomocy, tj. na podstawie umowy o przyznaniu pomocy albo w drodze decyzji administracyjnej.</w:t>
      </w:r>
    </w:p>
    <w:p w14:paraId="547BAF2A"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Odnośnie do zróżnicowania procedur przyznania pomocy (umowa o przyznaniu pomocy albo decyzja administracyjna) należy wskazać, że to czy pomoc jest przyznawana na podstawie umowy o przyznaniu pomocy, czy w drodze decyzji administracyjnej zależy m.in. od charakteru, jaki mają operacje realizowane w ramach interwencji, ich złożoności, formy pomocy, obowiązku stosowania przepisów o zamówieniach publicznych oraz doświadczeń we wdrażaniu instrumentów odpowiadających interwencjom w ramach Planu Strategicznego.</w:t>
      </w:r>
    </w:p>
    <w:p w14:paraId="27FBCB8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projektowaną ustawą pomoc jest przyznawana osobie fizycznej, osobie prawnej lub jednostce organizacyjnej nieposiadającej osobowości prawnej, którym został nadany numer identyfikacyjny w trybie przepisów o krajowym systemie ewidencji producentów, ewidencji gospodarstw rolnych oraz ewidencji wniosków o przyznanie płatności.</w:t>
      </w:r>
    </w:p>
    <w:p w14:paraId="01BAE74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przypadku pomocy przyznawanej w drodze decyzji pomoc jest przyznawana, jeżeli są spełnione warunki przyznania pomocy określone w przepisach UE, przepisach projektowanej ustawy oraz w przepisach wydanych na podstawie projektowanej ustawy.</w:t>
      </w:r>
    </w:p>
    <w:p w14:paraId="7A46AF2E"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przypadku pomocy przyznanej na podstawie umowy o przyznaniu pomocy pomoc jest przyznawana, jeżeli są spełnione warunki przyznania pomocy określone w przepisach UE, </w:t>
      </w:r>
      <w:r w:rsidRPr="00C543E1">
        <w:rPr>
          <w:rFonts w:ascii="Times New Roman" w:hAnsi="Times New Roman"/>
          <w:sz w:val="24"/>
          <w:szCs w:val="24"/>
        </w:rPr>
        <w:lastRenderedPageBreak/>
        <w:t>przepisach projektowanej ustawy oraz w regulaminie naboru wniosku o przyznanie pomocy lub w ogłoszeniu o zamówieniu publicznym.</w:t>
      </w:r>
    </w:p>
    <w:p w14:paraId="04BB809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Analogicznie jak w ramach Programu Rozwoju Obszarów Wiejskich na lata 2014–2020 (PROW 2014–2020) pomoc nie przysługuje podmiotowi, który podlega zakazowi dostępu do środków na realizację WPR na podstawie prawomocnego orzeczenia sądu. Dlatego zaproponowano przepisy analogiczne do zawartych w procedowanym projekcie ustawy o Krajowym Rejestrze Karnym, zakładając możliwość uzyskiwania na bieżąco informacji będących w posiadaniu Biura Informacyjnego Krajowego Rejestru Karnego (KRK), na podstawie których będzie można zweryfikować dane będące w posiadaniu ARiMR przy rozpatrywaniu wniosku o udzielenie pomocy. Ponadto w związku z trwającymi pracami nad projektem ustawy o Krajowym Rejestrze Karnym, w ramach których Biuro Informacyjne KRK zaproponowało analogiczny przepis do ustawy o PROW 2014–2020, przyjęcie takich rozwiązań na gruncie nowej perspektywy wydaje się zasadne.</w:t>
      </w:r>
    </w:p>
    <w:p w14:paraId="2841A5A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Rozwiązanie to pozwoli uniknąć cyklicznego występowania przez ARiMR z wnioskiem o weryfikację, czy KRK przetwarza informacje o osobach lub podmiotach zbiorowych, wobec których orzeczono środek karny w postaci zakazu dostępu do środków, o których mowa w art. 5 ust. 3 pkt 4 ustawy z dnia 27 sierpnia 2009 r. o finansach publicznych.</w:t>
      </w:r>
    </w:p>
    <w:p w14:paraId="797DE936"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tym rozdziale zaproponowano, aby pomoc była przyznawana na wniosek o jej przyznanie składany w sposób określony w przepisach o ARiMR wyłącznie za pomocą systemu teleinformatycznego ARiMR.</w:t>
      </w:r>
    </w:p>
    <w:p w14:paraId="6E68B71F" w14:textId="5739915F"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Wprowadzono wyjątek od przyznawania pomocy na wniosek o jej przyznanie. Wyjątek ten będą stanowić operacje,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ramach których beneficjent zostaje wyłoniony zgodnie z przepisami ustawy Pzp. </w:t>
      </w:r>
    </w:p>
    <w:p w14:paraId="42461FDD"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4. Pomoc przyznawana w drodze decyzji (art. 20–80)</w:t>
      </w:r>
    </w:p>
    <w:p w14:paraId="1741480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tym rozdziale projektowanej ustawy zostały uregulowane zasady, warunki i tryb przyznawania i wypłaty pomocy finansowej w drodze decyzji administracyjnej, warunkowość, kary oraz kontrole. </w:t>
      </w:r>
    </w:p>
    <w:p w14:paraId="3E74760E"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Proponuje się, aby w drodze decyzji była przyznawana pomoc w ramach:</w:t>
      </w:r>
    </w:p>
    <w:p w14:paraId="14E1BE32" w14:textId="77777777" w:rsidR="00F9038A" w:rsidRPr="00C543E1" w:rsidRDefault="00F9038A" w:rsidP="00530A3D">
      <w:pPr>
        <w:numPr>
          <w:ilvl w:val="0"/>
          <w:numId w:val="15"/>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 xml:space="preserve">płatności bezpośrednich, tj.: </w:t>
      </w:r>
      <w:r w:rsidRPr="00C543E1">
        <w:rPr>
          <w:rFonts w:ascii="Times New Roman" w:eastAsiaTheme="minorEastAsia" w:hAnsi="Times New Roman"/>
          <w:bCs/>
          <w:sz w:val="24"/>
          <w:szCs w:val="24"/>
          <w:lang w:eastAsia="pl-PL"/>
        </w:rPr>
        <w:t>podstawowe wsparcie dochodów</w:t>
      </w:r>
      <w:r w:rsidRPr="00C543E1">
        <w:rPr>
          <w:rFonts w:ascii="Times New Roman" w:eastAsiaTheme="minorHAnsi" w:hAnsi="Times New Roman"/>
          <w:sz w:val="24"/>
          <w:szCs w:val="24"/>
        </w:rPr>
        <w:t>, płatność redystrybucyjna, płatność dla młodych rolników, płatności związane z produkcją oraz płatności w ramach ekoschematów;</w:t>
      </w:r>
    </w:p>
    <w:p w14:paraId="334A461A" w14:textId="77777777" w:rsidR="00F9038A" w:rsidRPr="00C543E1" w:rsidRDefault="00F9038A" w:rsidP="00530A3D">
      <w:pPr>
        <w:numPr>
          <w:ilvl w:val="0"/>
          <w:numId w:val="15"/>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lastRenderedPageBreak/>
        <w:t>przejściowego wsparcia krajowego przyznawana w formie:</w:t>
      </w:r>
    </w:p>
    <w:p w14:paraId="4370274A" w14:textId="77777777" w:rsidR="00F9038A" w:rsidRPr="00C543E1" w:rsidRDefault="00F9038A" w:rsidP="00530A3D">
      <w:pPr>
        <w:numPr>
          <w:ilvl w:val="0"/>
          <w:numId w:val="16"/>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uzupełniającej płatności podstawowej,</w:t>
      </w:r>
    </w:p>
    <w:p w14:paraId="40A0258A" w14:textId="77777777" w:rsidR="00F9038A" w:rsidRPr="00C543E1" w:rsidRDefault="00F9038A" w:rsidP="00530A3D">
      <w:pPr>
        <w:numPr>
          <w:ilvl w:val="0"/>
          <w:numId w:val="16"/>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płatności niezwiązanej do tytoniu;</w:t>
      </w:r>
    </w:p>
    <w:p w14:paraId="5ACCE8F0" w14:textId="77777777" w:rsidR="00F9038A" w:rsidRPr="00C543E1" w:rsidRDefault="00F9038A" w:rsidP="00530A3D">
      <w:pPr>
        <w:numPr>
          <w:ilvl w:val="0"/>
          <w:numId w:val="15"/>
        </w:numPr>
        <w:autoSpaceDE w:val="0"/>
        <w:autoSpaceDN w:val="0"/>
        <w:adjustRightInd w:val="0"/>
        <w:spacing w:after="0" w:line="360" w:lineRule="auto"/>
        <w:ind w:left="510" w:hanging="510"/>
        <w:jc w:val="both"/>
        <w:rPr>
          <w:rFonts w:ascii="Times New Roman" w:eastAsiaTheme="minorEastAsia" w:hAnsi="Times New Roman"/>
          <w:sz w:val="24"/>
          <w:szCs w:val="24"/>
        </w:rPr>
      </w:pPr>
      <w:r w:rsidRPr="00C543E1">
        <w:rPr>
          <w:rFonts w:ascii="Times New Roman" w:eastAsiaTheme="minorEastAsia" w:hAnsi="Times New Roman"/>
          <w:sz w:val="24"/>
          <w:szCs w:val="24"/>
        </w:rPr>
        <w:t>płatności w ramach interwencji związanych ze środowiskiem, klimatem i innych zobowiązań w dziedzinie zarządzania, o których mowa w art. 69 lit. a rozporządzenia 2021/2115, przyznawanych w formie:</w:t>
      </w:r>
    </w:p>
    <w:p w14:paraId="021115CF" w14:textId="77777777" w:rsidR="00F9038A" w:rsidRPr="00C543E1" w:rsidRDefault="00F9038A" w:rsidP="00530A3D">
      <w:pPr>
        <w:numPr>
          <w:ilvl w:val="0"/>
          <w:numId w:val="17"/>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płatności rolno-środowiskowo-klimatycznych,</w:t>
      </w:r>
    </w:p>
    <w:p w14:paraId="647E58C6" w14:textId="77777777" w:rsidR="00F9038A" w:rsidRPr="00C543E1" w:rsidRDefault="00F9038A" w:rsidP="00530A3D">
      <w:pPr>
        <w:numPr>
          <w:ilvl w:val="0"/>
          <w:numId w:val="17"/>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płatności ekologicznych,</w:t>
      </w:r>
    </w:p>
    <w:p w14:paraId="5E209512" w14:textId="77777777" w:rsidR="00F9038A" w:rsidRPr="00C543E1" w:rsidRDefault="00F9038A" w:rsidP="00530A3D">
      <w:pPr>
        <w:numPr>
          <w:ilvl w:val="0"/>
          <w:numId w:val="17"/>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premii z tytułu zalesień, zadrzewień lub systemów rolno-leśnych;</w:t>
      </w:r>
    </w:p>
    <w:p w14:paraId="2303CF06" w14:textId="77777777" w:rsidR="00F9038A" w:rsidRPr="00C543E1" w:rsidRDefault="00F9038A" w:rsidP="00530A3D">
      <w:pPr>
        <w:numPr>
          <w:ilvl w:val="0"/>
          <w:numId w:val="15"/>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płatności dla obszarów z ograniczeniami naturalnymi lub innymi szczególnymi ograniczeniami, zwane dalej „płatnościami ONW”;</w:t>
      </w:r>
    </w:p>
    <w:p w14:paraId="6429D9D7" w14:textId="77777777" w:rsidR="00F9038A" w:rsidRPr="00C543E1" w:rsidRDefault="00F9038A" w:rsidP="00530A3D">
      <w:pPr>
        <w:numPr>
          <w:ilvl w:val="0"/>
          <w:numId w:val="15"/>
        </w:numPr>
        <w:autoSpaceDE w:val="0"/>
        <w:autoSpaceDN w:val="0"/>
        <w:adjustRightInd w:val="0"/>
        <w:spacing w:after="0" w:line="360" w:lineRule="auto"/>
        <w:ind w:left="510" w:hanging="510"/>
        <w:jc w:val="both"/>
        <w:rPr>
          <w:rFonts w:ascii="Times New Roman" w:eastAsiaTheme="minorEastAsia" w:hAnsi="Times New Roman"/>
          <w:sz w:val="24"/>
          <w:szCs w:val="24"/>
        </w:rPr>
      </w:pPr>
      <w:r w:rsidRPr="00C543E1">
        <w:rPr>
          <w:rFonts w:ascii="Times New Roman" w:eastAsiaTheme="minorEastAsia" w:hAnsi="Times New Roman"/>
          <w:sz w:val="24"/>
          <w:szCs w:val="24"/>
        </w:rPr>
        <w:t>wsparcia inwestycji leśnych lub zadrzewieniowych przyznawanego w ramach interwencji:</w:t>
      </w:r>
    </w:p>
    <w:p w14:paraId="349703F1" w14:textId="77777777" w:rsidR="00F9038A" w:rsidRPr="00C543E1" w:rsidRDefault="00F9038A" w:rsidP="00530A3D">
      <w:pPr>
        <w:numPr>
          <w:ilvl w:val="0"/>
          <w:numId w:val="18"/>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Zalesianie gruntów rolnych,</w:t>
      </w:r>
    </w:p>
    <w:p w14:paraId="207F118A" w14:textId="77777777" w:rsidR="00F9038A" w:rsidRPr="00C543E1" w:rsidRDefault="00F9038A" w:rsidP="00530A3D">
      <w:pPr>
        <w:numPr>
          <w:ilvl w:val="0"/>
          <w:numId w:val="18"/>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Tworzenie zadrzewień śródpolnych,</w:t>
      </w:r>
    </w:p>
    <w:p w14:paraId="45D09E91" w14:textId="77777777" w:rsidR="00F9038A" w:rsidRPr="00C543E1" w:rsidRDefault="00F9038A" w:rsidP="00530A3D">
      <w:pPr>
        <w:numPr>
          <w:ilvl w:val="0"/>
          <w:numId w:val="18"/>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Zakładanie systemów rolno-leśnych,</w:t>
      </w:r>
    </w:p>
    <w:p w14:paraId="6F600CCB" w14:textId="77777777" w:rsidR="00F9038A" w:rsidRPr="00C543E1" w:rsidRDefault="00F9038A" w:rsidP="00530A3D">
      <w:pPr>
        <w:numPr>
          <w:ilvl w:val="0"/>
          <w:numId w:val="18"/>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Zwiększanie bioróżnorodności lasów prywatnych;</w:t>
      </w:r>
    </w:p>
    <w:p w14:paraId="52D7CC12" w14:textId="77777777" w:rsidR="00F9038A" w:rsidRPr="00C543E1" w:rsidRDefault="00F9038A" w:rsidP="00530A3D">
      <w:pPr>
        <w:numPr>
          <w:ilvl w:val="0"/>
          <w:numId w:val="15"/>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narzędzia zarządzania ryzykiem, o których mowa w art. 69 lit. f rozporządzenia 2021/2115.</w:t>
      </w:r>
    </w:p>
    <w:p w14:paraId="3BBC9FF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Projektowane przepisy w art. 21 określają ogólną zasadę przyznawania pomocy rolnikowi, który prowadzi działalność rolniczą polegającą na:</w:t>
      </w:r>
    </w:p>
    <w:p w14:paraId="4E527165" w14:textId="77777777" w:rsidR="00F9038A" w:rsidRPr="00C543E1" w:rsidRDefault="00F9038A" w:rsidP="00530A3D">
      <w:pPr>
        <w:numPr>
          <w:ilvl w:val="0"/>
          <w:numId w:val="19"/>
        </w:numPr>
        <w:autoSpaceDE w:val="0"/>
        <w:autoSpaceDN w:val="0"/>
        <w:adjustRightInd w:val="0"/>
        <w:spacing w:after="0" w:line="360" w:lineRule="auto"/>
        <w:ind w:left="510" w:hanging="510"/>
        <w:jc w:val="both"/>
        <w:rPr>
          <w:rFonts w:ascii="Times New Roman" w:eastAsiaTheme="minorEastAsia" w:hAnsi="Times New Roman"/>
          <w:sz w:val="24"/>
          <w:szCs w:val="24"/>
        </w:rPr>
      </w:pPr>
      <w:r w:rsidRPr="00C543E1">
        <w:rPr>
          <w:rFonts w:ascii="Times New Roman" w:eastAsiaTheme="minorEastAsia" w:hAnsi="Times New Roman"/>
          <w:sz w:val="24"/>
          <w:szCs w:val="24"/>
        </w:rPr>
        <w:t>wytwarzaniu produktów rolnych przez hodowlę i chów zwierząt do celów gospodarskich, uprawę lub hodowlę roślin, przy czym wytworzone produkty rolne oznaczają produkty wymienione w załączniku I do Traktatu o funkcjonowaniu Unii Europejskiej (TFUE), z wyłączeniem produktów rybołówstwa, lub uprawie bawełny i zagajników o krótkiej rotacji lub</w:t>
      </w:r>
    </w:p>
    <w:p w14:paraId="4BD50A48" w14:textId="77777777" w:rsidR="00F9038A" w:rsidRPr="00C543E1" w:rsidRDefault="00F9038A" w:rsidP="00530A3D">
      <w:pPr>
        <w:numPr>
          <w:ilvl w:val="0"/>
          <w:numId w:val="19"/>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utrzymywaniu użytków rolnych (UR) w stanie, dzięki któremu nadają się one do wypasu lub uprawy, bez konieczności podejmowania działań przygotowawczych wykraczających poza zwykłe metody rolnicze i użycie zwykłego sprzętu rolniczego.</w:t>
      </w:r>
    </w:p>
    <w:p w14:paraId="46F836C9" w14:textId="77777777" w:rsidR="00F9038A" w:rsidRPr="00C543E1" w:rsidRDefault="00F9038A" w:rsidP="00530A3D">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Projektowane przepisy przenoszą na grunt krajowy definicję działalności rolniczej, której ramy zostały określone w art. 4 ust. 2 rozporządzenia 2021/2115. Zgodnie z upoważnieniem zawartym w art. 21 ust. 2 definicja ta zostanie doprecyzowana w rozporządzeniu wydanym </w:t>
      </w:r>
      <w:r w:rsidRPr="00C543E1">
        <w:rPr>
          <w:rFonts w:ascii="Times New Roman" w:hAnsi="Times New Roman"/>
          <w:sz w:val="24"/>
          <w:szCs w:val="24"/>
        </w:rPr>
        <w:lastRenderedPageBreak/>
        <w:t>przez ministra właściwego do spraw rozwoju wsi. Analogiczne rozwiązanie funkcjonuje w obecnym systemie płatności bezpośrednich (nie planuje się zmian w tym zakresie).</w:t>
      </w:r>
    </w:p>
    <w:p w14:paraId="3B5A939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Posiadanie</w:t>
      </w:r>
    </w:p>
    <w:p w14:paraId="1CDBCD49" w14:textId="77777777" w:rsidR="00F9038A" w:rsidRPr="00C543E1" w:rsidRDefault="00F9038A" w:rsidP="00530A3D">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projektowanym art. 22 rozstrzyga się kwestię przyznania pomocy posiadaczowi. Jednym z warunków przyznania wsparcia po 2022 r. będzie, analogicznie jak w obecnym systemie, wymóg, aby kwalifikujące się hektary pozostawały w dyspozycji rolnika (art. 4 ust. 4 rozporządzenia 2021/2115). Niemniej jednak prawo UE nie definiuje pojęcia „w dyspozycji”. Nie określa też charakteru stosunku prawnego, na podstawie którego dany obszar jest użytkowany przez rolnika (pozostaje w jego dyspozycji). </w:t>
      </w:r>
    </w:p>
    <w:p w14:paraId="375F386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związku z powyższym przyjęto, że pojęcie „w dyspozycji” należy odczytywać jako tożsame z posiadaniem i zaproponowano przyjęcie dotychczasowego rozwiązania, zgodnie z którym grunty rolne muszą pozostawać w posiadaniu rolnika w dniu 31 maja roku złożenia wniosku o przyznanie pomocy (tj. ostateczną datą na dokonanie zmian we wniosku o przyznanie pomocy). Jednocześnie w związku z orzeczeniem Trybunału Sprawiedliwości Unii Europejskiej z dnia 17 grudnia 2020 r. w sprawie C-216/19 Land Berlin dodano w tym przepisie obowiązek posiadania tytułu prawnego do gruntów, do których mają zostać przyznane płatności. W przedmiotowym wyroku Trybunał Sprawiedliwości Unii Europejskiej stwierdził, że dysponowanie (posiadanie) gruntem powinno być zgodne z prawem danego państwa członkowskiego, a więc powinno odbywać się na podstawie tytułu prawnego. </w:t>
      </w:r>
    </w:p>
    <w:p w14:paraId="5B0444F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Projektowane przepisy rozstrzygają również (art. 23) kwestię przyznawania pomocy, w przypadku gdy grunt rolny lub zwierzę stanowi przedmiot posiadania samoistnego i posiadania zależnego. Proponuje się, aby w takim przypadku – tak jak dotychczas – pomoc przysługiwała posiadaczowi zależnemu, czyli temu, kto faktycznie zajmuje się uprawą zadeklarowanych do płatności gruntów lub utrzymywaniem zwierząt. Proponowane przepisy zabezpieczają interesy posiadacza zależnego w przypadku złożenia wniosku o przyznanie płatności również przez posiadacza samoistnego. Ponadto w projektowanych przepisach rozstrzygnięto kwestię przyznawania pomocy, w przypadku gdy grunt lub zwierzę, jest przedmiotem współposiadania. Proponuje się, aby w takim przypadku – tak jak dotychczas – płatności przysługiwały temu współposiadaczowi, na którego pozostali współposiadacze wyrazili zgodę. Wymóg dołączenia do wniosku pisemnej zgody wszystkich współposiadaczy pozwala zabezpieczyć ich interesy w kontekście ubiegania się o przyznanie płatności do gruntów rolnych lub zwierząt, stanowiących przedmiot współposiadania.</w:t>
      </w:r>
    </w:p>
    <w:p w14:paraId="4DD6F81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Rolnik aktywny zawodowo</w:t>
      </w:r>
    </w:p>
    <w:p w14:paraId="4AF7AEC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Projektowany art. 24 wdraża przepisy art. 4 ust. 1 rozporządzenia 2021/2115 w zakresie definicji rolnika aktywnego zawodowo oraz jest zgodny z motywem 19 rozporządzenia 2021/2115. W celu wspólnego podejścia na poziomie unijnym w art. 4 ust. 5 rozporządzenia 2021/2115 ustanowiono ramową definicję terminu „rolnik aktywny zawodowo” zawierającą najważniejsze elementy. Natomiast państwa członkowskie na podstawie obiektywnych warunków, takich jak: badanie dochodów, nakłady pracy w gospodarstwie, przedmiot działalności przedsiębiorstwa oraz włączenie działalności rolniczej tych osób do rejestrów krajowych lub regionalnych, określają w swoich planach strategicznych WPR, których rolników uznaje się za rolników aktywnych zawodowo. Jednocześnie, aby zmniejszyć obciążenia administracyjne państwa członkowskie mają możliwość przyznawania płatności bezpośrednich małym gospodarstwom, które również przyczyniają się do witalności obszarów wiejskich, i uznać za rolników aktywnych zawodowo tych rolników, którzy w poprzednim roku nie otrzymali płatności bezpośrednich przekraczających określoną kwotę. Kwota ta nie może być wyższa niż 5000 euro. Państwa członkowskie mogą również ustanowić negatywny wykaz rodzajów działalności pozarolniczej, w porównaniu z którymi działalność rolnicza jest zazwyczaj marginalna. Niemniej jednak zainteresowane osoby powinny mieć możliwość udowodnienia, że spełniają kryteria definicji rolnika aktywnego zawodowo. Ponadto definicja rolnika aktywnego zawodowo nie powinna wykluczać przyznania wsparcia rolnikom prowadzącym działalność rolniczą i nierolniczą lub prowadzącym działalność rolniczą w niepełnym wymiarze godzin. W warunkach polskich największe ryzyko pobierania płatności przez osoby niezajmujące się produkcją rolną dotyczy w szczególności dużych podmiotów, które, dysponując znacznym areałem ziemi, osiągają wysokie przychody z tego tytułu. Z tego względu działania związane z badaniem aktywności rolniczej proponuje się ograniczyć jedynie do gospodarstw największych. W pozostałych przypadkach efekty stosowania tego mechanizmu byłyby niewspółmiernie małe do poniesionych nakładów administracyjnych. Jest to bowiem instrument o wysokim poziomie skomplikowania pod względem procesu weryfikacji. Jednocześnie małe gospodarstwa, również te prowadzące działalność rolniczą w niepełnym wymiarze godzin, wnoszą bezpośredni wkład w żywotność obszarów wiejskich.</w:t>
      </w:r>
    </w:p>
    <w:p w14:paraId="1AF97CF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związku z powyższym w projektowanym art. 24 doprecyzowano, że nie przyznaje się pomocy rolnikom, którzy prowadzą działalność z tzw. listy negatywnej, tj. zarządzają portami lotniczymi, administrują wodociągami, stałymi terenami sportowymi lub rekreacyjnymi, jak również świadczą usługi przewozu kolejowego lub usługi w zakresie obrotu nieruchomościami. </w:t>
      </w:r>
      <w:r w:rsidRPr="00C543E1">
        <w:rPr>
          <w:rFonts w:ascii="Times New Roman" w:hAnsi="Times New Roman"/>
          <w:sz w:val="24"/>
          <w:szCs w:val="24"/>
        </w:rPr>
        <w:lastRenderedPageBreak/>
        <w:t xml:space="preserve">Podmioty te z racji samego charakteru prowadzonej działalności, co do zasady, nie są związane z prowadzeniem działalności rolniczej lub są tylko w marginalnym stopniu związane z prowadzeniem tej działalności. W przypadku lotnisk, boisk oraz trwałych terenów sportowych i rekreacyjnych prowadzenie działalności jest związane na ogół z użytkowaniem terenów zielonych. Intensywność, charakter, okres trwania i harmonogram działalności pozarolniczej na takich obszarach z reguły wyklucza możliwość wykorzystania ich w celach rolniczych. Podobnie w przypadku działalności związanej z administrowaniem wodociągami oraz prowadzeniem transportu kolejowego te rodzaje działalności zazwyczaj wiążą się z użytkowaniem znacznych areałów gruntów położonych w istotnej części na obszarach miejsko-wiejskich. Celem użytkowania tych gruntów nie jest jednak działalność rolnicza, a znajdująca się na nich infrastruktura, co wyklucza możliwość nawet czasowego wykorzystywania takich gruntów jako UR. Włączenie do negatywnej listy podmiotów świadczących usługi w zakresie obrotu nieruchomościami ma natomiast na celu zapobieżenie sytuacji, w której podmioty, których celem nie jest działalność rolnicza, próbowałyby uzyskać płatności do gruntów rolnych objętych czasowo w posiadanie w celu przeprowadzenia transakcji sprzedaży. </w:t>
      </w:r>
    </w:p>
    <w:p w14:paraId="703AB8D5"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projektowanym art. 24 ustanowiono również wyjątki od powyższej zasady. Mianowicie rolnicy, którzy za poprzedni rok otrzymali płatności bezpośrednie w wysokości nieprzekraczającej równowartości w złotych kwoty 5000 euro, będą automatycznie uznawani za aktywnych zawodowo. Dzięki temu stosunkowo duża liczba rolników zostanie „automatycznie” uznana za aktywnych zawodowo, upraszczając ubieganie się o płatności przez najmniejsze gospodarstwa, a także ograniczając nakłady administracyjne związane z obsługą wniosków.</w:t>
      </w:r>
    </w:p>
    <w:p w14:paraId="17D1C5A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Natomiast w przypadku, gdy kwota płatności za poprzedni rok przekracza równowartość w złotych 5000 euro, rolnik będzie uznawany za aktywnego, jeżeli nie prowadzi żadnej z działalności wymienionej na negatywnej liście. Niemniej jednak rolnik prowadzący tego rodzaju działalność może zostać uznany za aktywnego nawet w przypadku, gdy został przekroczony próg kwotowy w wysokości stanowiącej równowartość w złotych 5000 euro, jeżeli udokumentuje, że:</w:t>
      </w:r>
    </w:p>
    <w:p w14:paraId="65997941" w14:textId="77777777" w:rsidR="00F9038A" w:rsidRPr="00C543E1" w:rsidRDefault="00F9038A" w:rsidP="00530A3D">
      <w:pPr>
        <w:numPr>
          <w:ilvl w:val="0"/>
          <w:numId w:val="28"/>
        </w:numPr>
        <w:autoSpaceDE w:val="0"/>
        <w:autoSpaceDN w:val="0"/>
        <w:adjustRightInd w:val="0"/>
        <w:spacing w:after="0" w:line="360" w:lineRule="auto"/>
        <w:ind w:left="510" w:hanging="510"/>
        <w:jc w:val="both"/>
        <w:rPr>
          <w:rFonts w:ascii="Times New Roman" w:hAnsi="Times New Roman"/>
          <w:sz w:val="24"/>
          <w:szCs w:val="24"/>
        </w:rPr>
      </w:pPr>
      <w:r w:rsidRPr="00C543E1">
        <w:rPr>
          <w:rFonts w:ascii="Times New Roman" w:hAnsi="Times New Roman"/>
          <w:sz w:val="24"/>
          <w:szCs w:val="24"/>
        </w:rPr>
        <w:t>jego przychód z działalności rolniczej stanowi co najmniej 1/3 całego przychodu lub</w:t>
      </w:r>
    </w:p>
    <w:p w14:paraId="4BCD92AC" w14:textId="77777777" w:rsidR="00F9038A" w:rsidRPr="00C543E1" w:rsidRDefault="00F9038A" w:rsidP="00530A3D">
      <w:pPr>
        <w:numPr>
          <w:ilvl w:val="0"/>
          <w:numId w:val="28"/>
        </w:numPr>
        <w:autoSpaceDE w:val="0"/>
        <w:autoSpaceDN w:val="0"/>
        <w:adjustRightInd w:val="0"/>
        <w:spacing w:after="0" w:line="360" w:lineRule="auto"/>
        <w:ind w:left="510" w:hanging="510"/>
        <w:jc w:val="both"/>
        <w:rPr>
          <w:rFonts w:ascii="Times New Roman" w:hAnsi="Times New Roman"/>
          <w:sz w:val="24"/>
          <w:szCs w:val="24"/>
        </w:rPr>
      </w:pPr>
      <w:r w:rsidRPr="00C543E1">
        <w:rPr>
          <w:rFonts w:ascii="Times New Roman" w:hAnsi="Times New Roman"/>
          <w:sz w:val="24"/>
          <w:szCs w:val="24"/>
        </w:rPr>
        <w:t>roczna kwota płatności bezpośrednich, jakie mu przysługiwały za rok poprzedzający rok złożenia wniosku o przyznanie pomocy, wynosi co najmniej 5% całości przychodów z działalności pozarolniczej, lub</w:t>
      </w:r>
    </w:p>
    <w:p w14:paraId="2880A515" w14:textId="77777777" w:rsidR="00F9038A" w:rsidRPr="00C543E1" w:rsidRDefault="00F9038A" w:rsidP="00530A3D">
      <w:pPr>
        <w:numPr>
          <w:ilvl w:val="0"/>
          <w:numId w:val="28"/>
        </w:numPr>
        <w:autoSpaceDE w:val="0"/>
        <w:autoSpaceDN w:val="0"/>
        <w:adjustRightInd w:val="0"/>
        <w:spacing w:after="0" w:line="360" w:lineRule="auto"/>
        <w:ind w:left="510" w:hanging="510"/>
        <w:jc w:val="both"/>
        <w:rPr>
          <w:rFonts w:ascii="Times New Roman" w:hAnsi="Times New Roman"/>
          <w:sz w:val="24"/>
          <w:szCs w:val="24"/>
        </w:rPr>
      </w:pPr>
      <w:r w:rsidRPr="00C543E1">
        <w:rPr>
          <w:rFonts w:ascii="Times New Roman" w:hAnsi="Times New Roman"/>
          <w:sz w:val="24"/>
          <w:szCs w:val="24"/>
        </w:rPr>
        <w:lastRenderedPageBreak/>
        <w:t>główną działalność gospodarczą lub przedmiot działalności stanowi wykonywanie działalności rolniczej (w Centralnej Ewidencji i Informacji o Działalności Gospodarczej (CEiDG) działalność rolnicza tego rolnika została wskazana jako główna lub dokumenty z Krajowego Rejestru Sądowego lub REGON potwierdzą, że wykonywana przez rolnika działalność rolnicza stanowi główną działalność gospodarczą).</w:t>
      </w:r>
    </w:p>
    <w:p w14:paraId="6A49CCE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Rodzaje dowodów potwierdzających wystąpienie ww. okoliczności zostaną określone w rozporządzeniu wydanym na podstawie art. 70 projektowanej ustawy, a zaproponowana lista dowodów będzie wynikała z dotychczasowych rozwiązań i stosowanych możliwości zweryfikowania ww. okoliczności. </w:t>
      </w:r>
    </w:p>
    <w:p w14:paraId="2C459AB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Przyjęte w projekcie ustawy podejście spowoduje, że konieczność wykazania, że jest się rolnikiem aktywnym zawodowo będzie dotyczyła możliwie najmniejszej liczby beneficjentów. Szacuje się, że płatności w wysokości przekraczającej równowartość w złotych 5000 euro otrzyma ok. 160 000 podmiotów, czyli ok. 12% wszystkich wnioskujących (według danych IERiGŻ).</w:t>
      </w:r>
    </w:p>
    <w:p w14:paraId="054C790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Minimalne wymogi </w:t>
      </w:r>
    </w:p>
    <w:p w14:paraId="61CBDDA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Projektowany art. 25 wdraża art. 18 rozporządzenia 2021/2115 określający minimalne wymogi dotyczące otrzymywania płatności bezpośrednich. Przepis ten ma zapobiegać nadmiernemu obciążeniu administracyjnemu spowodowanemu zarządzaniem licznymi płatnościami w małych kwotach.</w:t>
      </w:r>
    </w:p>
    <w:p w14:paraId="65024C6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Mając na względzie możliwość przewidzianą w art. 18 ust. 1 rozporządzenia 2021/2115, Polska zdecydowała się na stosowanie limitu powierzchniowego, co oznacza, że płatności bezpośrednie oraz przejściowe wsparcie krajowe mogą zostać przyznane rolnikowi, jeżeli łączna powierzchnia gruntów objętych obszarem zatwierdzonym będących w posiadaniu tego rolnika jest nie mniejsza niż 1 ha.</w:t>
      </w:r>
    </w:p>
    <w:p w14:paraId="24398F8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Niemniej jednak zgodnie z art. 18 ust. 2 rozporządzenia 2021/2115 w przypadku stosowania progu powierzchniowego dodatkowo ustala się także kwotę minimalną dla tych rolników, którzy otrzymują wsparcie powiązane z produkcją zwierzęcą płatne na zwierzę w formie płatności bezpośrednich i posiadają mniej hektarów niż określony próg powierzchniowy. Dlatego też w projektowanych przepisach wskazano, że mimo niespełnienia warunku wielkości powierzchni, o którym mowa w ust. 1, płatności bezpośrednie oraz przejściowe wsparcie krajowe są przyznawane, jeżeli:</w:t>
      </w:r>
    </w:p>
    <w:p w14:paraId="4F447A99" w14:textId="77777777" w:rsidR="00F9038A" w:rsidRPr="00C543E1" w:rsidRDefault="00F9038A" w:rsidP="00530A3D">
      <w:pPr>
        <w:numPr>
          <w:ilvl w:val="0"/>
          <w:numId w:val="20"/>
        </w:numPr>
        <w:autoSpaceDE w:val="0"/>
        <w:autoSpaceDN w:val="0"/>
        <w:adjustRightInd w:val="0"/>
        <w:spacing w:after="0" w:line="360" w:lineRule="auto"/>
        <w:ind w:left="510" w:hanging="510"/>
        <w:jc w:val="both"/>
        <w:rPr>
          <w:rFonts w:ascii="Times New Roman" w:eastAsiaTheme="minorEastAsia" w:hAnsi="Times New Roman"/>
          <w:sz w:val="24"/>
          <w:szCs w:val="24"/>
        </w:rPr>
      </w:pPr>
      <w:r w:rsidRPr="00C543E1">
        <w:rPr>
          <w:rFonts w:ascii="Times New Roman" w:eastAsiaTheme="minorEastAsia" w:hAnsi="Times New Roman"/>
          <w:sz w:val="24"/>
          <w:szCs w:val="24"/>
        </w:rPr>
        <w:lastRenderedPageBreak/>
        <w:t>rolnik spełnia warunki do przyznania płatności związanych z produkcją do zwierząt lub płatności dobrostanowych i złożył wniosek o ich przyznanie oraz</w:t>
      </w:r>
    </w:p>
    <w:p w14:paraId="112014C7" w14:textId="77777777" w:rsidR="00F9038A" w:rsidRPr="00C543E1" w:rsidRDefault="00F9038A" w:rsidP="00530A3D">
      <w:pPr>
        <w:numPr>
          <w:ilvl w:val="0"/>
          <w:numId w:val="20"/>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łączna kwota płatności bezpośrednich, jakie miałyby zostać przyznane w danym roku temu rolnikowi, przed zastosowaniem kar i kar administracyjnych, wynosi co najmniej równowartość w złotych kwoty 200 euro.</w:t>
      </w:r>
    </w:p>
    <w:p w14:paraId="16C9DDE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Przyjęty próg powierzchniowy (1 ha) pozwala na uwzględnienie w systemie płatności bezpośrednich najmniejszych gospodarstw, które odgrywają istotną rolę w strukturze społecznej polskich obszarów wiejskich. Produkcja rolna z tych gospodarstw stanowi ważne dla wielu obywateli źródło samozaopatrzenia w żywność oraz przyczynia się do wsparcia i dywersyfikacji dochodów najuboższych rodzin. W tej grupie znajdują się również gospodarstwa wyspecjalizowane w mniej popularnych, małoobszarowych kierunkach produkcji (np. tytoń), dla których minimalna efektywna skala produkcji kształtuje się na poziomie znacznie niższym od przeciętnego w całym rolnictwie.</w:t>
      </w:r>
    </w:p>
    <w:p w14:paraId="5953997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Próg został ustanowiony z uwzględnieniem kosztów obsługi administracyjnej jednego wniosku wynoszących ok. 197 zł (szacunki ARiMR z lipca 2020 r.). </w:t>
      </w:r>
    </w:p>
    <w:p w14:paraId="7732AE2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Przyjęcie progu kwotowego w wysokości 200 euro sprawi, że potencjał warunku o minimalnych wymogach dotyczących przyznawania płatności w ograniczaniu nakładu administracyjnego związanego z obsługą wniosków zostanie w pełni wykorzystany.</w:t>
      </w:r>
    </w:p>
    <w:p w14:paraId="6E4F5AF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Kwalifikujący się hektar</w:t>
      </w:r>
    </w:p>
    <w:p w14:paraId="756299D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projektowanym art. 26 określono, że obszarowe płatności bezpośrednie są przyznawane do gruntów stanowiących kwalifikujący się hektar. </w:t>
      </w:r>
    </w:p>
    <w:p w14:paraId="62B59A2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Jednocześnie przepis zawiera upoważnienie dla ministra właściwego do spraw rolnictwa do określenia, w drodze rozporządzenia, szczegółowych warunków uznawania gruntów za kwalifikujące się hektary. Doprecyzowanie tej kwestii w rozporządzeniu umożliwi uwzględnienie wielu różnych, szczegółowych aspektów związanych ze sposobem użytkowania gruntów w Polsce. Zatem projektowane przepisy wdrażają art. 4 rozporządzenia 2021/2115, który stanowi, że „kwalifikujący się hektar” definiuje się w taki sposób, aby obejmował obszary znajdujące się w dyspozycji rolnika. </w:t>
      </w:r>
    </w:p>
    <w:p w14:paraId="6BE7FFDE"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Płatność redystrybucyjna</w:t>
      </w:r>
    </w:p>
    <w:p w14:paraId="3E4FD3D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Projektowany art. 27 wdraża przepisy art. 29 rozporządzenia 2021/2115 dotyczące płatności redystrybucyjnej, realizując jednocześnie jedno z zaleceń KE dla Polski w sprawie Planu </w:t>
      </w:r>
      <w:r w:rsidRPr="00C543E1">
        <w:rPr>
          <w:rFonts w:ascii="Times New Roman" w:hAnsi="Times New Roman"/>
          <w:sz w:val="24"/>
          <w:szCs w:val="24"/>
        </w:rPr>
        <w:lastRenderedPageBreak/>
        <w:t xml:space="preserve">Strategicznego dotyczące poprawy rentowności gospodarstw rolnych dzięki zapewnieniu bardziej sprawiedliwego i lepiej ukierunkowanego wsparcia dochodów przez zmniejszanie różnic w dochodach między gospodarstwami o różnej wielkości (w szczególności na korzyść mniejszych gospodarstw) i regionami państwa w wyniku zastosowania na przykład uzupełniającego redystrybucyjnego wsparcia dochodu do celów stabilności. </w:t>
      </w:r>
    </w:p>
    <w:p w14:paraId="177EEA66"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Należy podkreślić, że celem tej płatności jest rozdystrybuowanie pomocy UE przez przeniesienie części płatności z większych gospodarstw korzystających z efektu skali do gospodarstw mniejszych, w których takiego efektu nie ma (występują wyższe koszty jednostkowe produkcji).</w:t>
      </w:r>
    </w:p>
    <w:p w14:paraId="7AF3183A"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Z analiz ekonomicznych przeprowadzonych na potrzeby przygotowania Planu Strategicznego wynika, że sytuacja dochodowa gospodarstw jest w Polsce znacznie zróżnicowana w zależności od ich wielkości. W grupie gospodarstw do 30 ha UR dochody kształtują się na poziomie znacznie niższym niż dochód parytetowy nawet po uwzględnieniu płatności bezpośrednich i płatności ONW. Gospodarstwa o powierzchni UR między 30 a 50 ha uzyskują dochody parytetowe dopiero po uwzględnieniu wsparcia bezpośredniego i płatności ONW. Natomiast gospodarstwa największe, a więc te powyżej 50 ha UR, charakteryzują się dochodem z działalności rolniczej (bez płatności) przewyższającym dochód parytetowy. </w:t>
      </w:r>
    </w:p>
    <w:p w14:paraId="5AF56CB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Dlatego też w projektowanym art. 27 zaproponowano przyznawanie płatności redystrybucyjnej gospodarstwom o powierzchni od 1 ha do 300 ha maksymalnie do 30 ha (dotychczas otrzymywały ją wszystkie gospodarstwa, z wyjątkiem tych o powierzchni 1–3 ha i przyznawana była maksymalnie do 27 ha). Uzasadnieniem dla powyższego górnego limitu powierzchniowego jest potrzeba realizacji obowiązującej w Polsce zasady traktowania gospodarstw rodzinnych jako podstawy kształtowania ustroju rolnego. Zasada ta wynika wprost z art. 23 Konstytucji RP. Gospodarstwo rodzinne zostało zdefiniowane w art. 5 ust. 2a ustawy z dnia 11 kwietnia 2003 r. o kształtowaniu ustroju rolnego (Dz. U. z 2022 r. poz. 2569) jako gospodarstwo rolne o powierzchni nie większej niż 300 ha.</w:t>
      </w:r>
    </w:p>
    <w:p w14:paraId="1458AE3B" w14:textId="77777777" w:rsidR="00F9038A" w:rsidRPr="00530A3D" w:rsidRDefault="00F9038A">
      <w:pPr>
        <w:pStyle w:val="ARTartustawynprozporzdzenia"/>
        <w:ind w:firstLine="0"/>
        <w:rPr>
          <w:rFonts w:ascii="Times New Roman" w:hAnsi="Times New Roman" w:cs="Times New Roman"/>
          <w:szCs w:val="24"/>
        </w:rPr>
      </w:pPr>
      <w:r w:rsidRPr="00C543E1">
        <w:rPr>
          <w:rFonts w:ascii="Times New Roman" w:hAnsi="Times New Roman" w:cs="Times New Roman"/>
          <w:szCs w:val="24"/>
        </w:rPr>
        <w:t xml:space="preserve">W przypadku płatności redystrybucyjnej wymóg posiadania nie więcej niż 300 ha gruntów będzie oceniany na </w:t>
      </w:r>
      <w:r w:rsidRPr="00530A3D">
        <w:rPr>
          <w:rFonts w:ascii="Times New Roman" w:hAnsi="Times New Roman" w:cs="Times New Roman"/>
          <w:szCs w:val="24"/>
        </w:rPr>
        <w:t>dzień 31 maja roku, w którym został złożony wniosek o przyznanie tej płatności, i będzie obejmował wszystkie grunty posiadane przez rolnika, również te, do których nie posiada on tytułu prawnego. Natomiast płatność będzie przyznawana do gruntów znajdujących się w posiadaniu podmiotu ubiegającego się o przyznanie płatności na podstawie tytułu prawnego, zgodnie z art. 22 projektu ustawy.</w:t>
      </w:r>
    </w:p>
    <w:p w14:paraId="2920C9A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 xml:space="preserve">Jednocześnie w projektowanym art. 27 zostały przewidziane odrębne rozwiązania dla spółdzielni </w:t>
      </w:r>
      <w:r w:rsidRPr="00C543E1">
        <w:rPr>
          <w:rFonts w:ascii="Times New Roman" w:hAnsi="Times New Roman"/>
          <w:bCs/>
          <w:sz w:val="24"/>
          <w:szCs w:val="24"/>
        </w:rPr>
        <w:t>produkcji rolnej oraz spółdzielni rolników.</w:t>
      </w:r>
      <w:r w:rsidRPr="00C543E1">
        <w:rPr>
          <w:rFonts w:ascii="Times New Roman" w:hAnsi="Times New Roman"/>
          <w:sz w:val="24"/>
          <w:szCs w:val="24"/>
        </w:rPr>
        <w:t xml:space="preserve"> Ww. </w:t>
      </w:r>
      <w:r w:rsidRPr="00C543E1">
        <w:rPr>
          <w:rFonts w:ascii="Times New Roman" w:hAnsi="Times New Roman"/>
          <w:bCs/>
          <w:sz w:val="24"/>
          <w:szCs w:val="24"/>
        </w:rPr>
        <w:t>spółdzielnie</w:t>
      </w:r>
      <w:r w:rsidRPr="00C543E1">
        <w:rPr>
          <w:rFonts w:ascii="Times New Roman" w:hAnsi="Times New Roman"/>
          <w:sz w:val="24"/>
          <w:szCs w:val="24"/>
        </w:rPr>
        <w:t xml:space="preserve"> w warunkach polskich stanowią jedną z pożądanych form zrzeszania się rolników i z tego względu są one odrębnie traktowane w polskim porządku prawnym</w:t>
      </w:r>
      <w:r w:rsidRPr="00C543E1">
        <w:rPr>
          <w:rFonts w:ascii="Times New Roman" w:hAnsi="Times New Roman"/>
          <w:bCs/>
          <w:sz w:val="24"/>
          <w:szCs w:val="24"/>
        </w:rPr>
        <w:t xml:space="preserve">. </w:t>
      </w:r>
      <w:r w:rsidRPr="00C543E1">
        <w:rPr>
          <w:rFonts w:ascii="Times New Roman" w:hAnsi="Times New Roman"/>
          <w:sz w:val="24"/>
          <w:szCs w:val="24"/>
        </w:rPr>
        <w:t xml:space="preserve">Dlatego też proponuje się, aby w przypadku spółdzielni przy określaniu limitu powierzchni podlegającej wsparciu była uwzględniana </w:t>
      </w:r>
      <w:r w:rsidRPr="00C543E1">
        <w:rPr>
          <w:rFonts w:ascii="Times New Roman" w:hAnsi="Times New Roman"/>
          <w:bCs/>
          <w:sz w:val="24"/>
          <w:szCs w:val="24"/>
        </w:rPr>
        <w:t>liczba jej członków.</w:t>
      </w:r>
      <w:r w:rsidRPr="00C543E1">
        <w:rPr>
          <w:rFonts w:ascii="Times New Roman" w:hAnsi="Times New Roman"/>
          <w:sz w:val="24"/>
          <w:szCs w:val="24"/>
        </w:rPr>
        <w:t xml:space="preserve"> W konsekwencji płatność będzie mogła zostać przyznana spółdzielni do większej powierzchni, co oznacza jednocześnie, że spółdzielnia otrzyma większą płatność w porównaniu do obecnych rozwiązań, zgodnie z którymi spółdzielnia jest traktowana jako jeden podmiot, a stosowany limit powierzchni jest taki sam jak dla rolnika indywidualnego.</w:t>
      </w:r>
    </w:p>
    <w:p w14:paraId="69E5CD2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Płatności dla młodych rolników</w:t>
      </w:r>
    </w:p>
    <w:p w14:paraId="2FFD6E06"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Projektowany art. 28 ustanawia przepisy dotyczące płatności dla młodych rolników, o której mowa w art. 30 rozporządzenia 2021/2115. Celem tej płatności jest przede wszystkim wsparcie dochodów młodych rolników, a także zmniejszenie ryzyka związanego z podjęciem działalności rolniczej oraz poprawa struktury wieku zarządzających gospodarstwami rolnymi, niezależnie od wyników ekonomicznych podjętej działalności.</w:t>
      </w:r>
    </w:p>
    <w:p w14:paraId="2872AFE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Na poziomie unijnym w rozporządzeniu 2021/2115 została ustanowiona ramowa, zawierająca najważniejsze elementy, definicja „młodego rolnika” (art. 4 ust. 6), a także pozwolono państwom członkowskim na pewien poziom elastyczności w zakresie wdrażania tej płatności. Mianowicie na podstawie oceny potrzeb państwa członkowskie powinny mieć możliwość podjęcia decyzji w sprawie metody obliczania płatności na hektar lub w formie płatności ryczałtowej, ewentualnie ograniczonej do maksymalnej liczby hektarów. Ponieważ powinna ona obejmować jedynie początkowy okres prowadzenia działalności, płatność taka powinna być przyznawana jedynie przez określony maksymalny okres po złożeniu wniosku o przyznanie pomocy i wkrótce po rozpoczęciu działalności. W przypadku gdy okres płatności wykracza poza 2027 r., państwa członkowskie powinny zapewnić, aby nie powstały żadne uzasadnione oczekiwania beneficjentów w odniesieniu do okresu po tym roku.</w:t>
      </w:r>
    </w:p>
    <w:p w14:paraId="52D1FA1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związku z powyższym w projektowanym art. 28 zaproponowano, aby wsparcie dla młodych rolników było kontynuowane, co do zasady, na warunkach obowiązujących obecnie (tj. maksymalny wiek młodego rolnika – nie więcej niż 40 lat w pierwszym roku złożenia wniosku; rozpoczęcie działalności nie wcześniej niż 5 lat przed złożeniem wniosku; bycie kierującym gospodarstwem), z tym że płatność będzie przysługiwać do całej powierzchni gospodarstwa (dotychczas obowiązywał limit 50 ha). Zniesienie tego limitu ma na celu zachęcenie młodych </w:t>
      </w:r>
      <w:r w:rsidRPr="00C543E1">
        <w:rPr>
          <w:rFonts w:ascii="Times New Roman" w:hAnsi="Times New Roman"/>
          <w:sz w:val="24"/>
          <w:szCs w:val="24"/>
        </w:rPr>
        <w:lastRenderedPageBreak/>
        <w:t>rolników do rozpoczynania działalności. Dodatkowo w związku z nową definicją młodego rolnika został wprowadzony wymóg posiadania odpowiednich kwalifikacji lub umiejętności przez rolników ubiegających się o przyznanie tego wsparcia. Aby umożliwić skorzystanie z tego rodzaju wsparcia jak największej liczbie osób, proponuje się, żeby płatność przysługiwała młodym rolnikom mającym co najmniej wykształcenie na poziomie ponadpodstawowym lub 3-letni staż pracy w rolnictwie.</w:t>
      </w:r>
    </w:p>
    <w:p w14:paraId="5C743CC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Płatności związane z produkcją</w:t>
      </w:r>
    </w:p>
    <w:p w14:paraId="724C011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Projektowany art. 29 reguluje kwestie dotyczące płatności związanych, o których mowa w rozdziale II sekcji 3 podsekcji 1 rozporządzenia 2021/2115.</w:t>
      </w:r>
    </w:p>
    <w:p w14:paraId="68D1EF85"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projektowanych przepisach znajduje odzwierciedlenie decyzja Polski o stosowaniu płatności związanych z produkcją oraz o objęciu tym wsparciem wybranych sektorów produkcji roślinnej i zwierzęcej.</w:t>
      </w:r>
    </w:p>
    <w:p w14:paraId="58DEB56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Przepisy unijne przewidują możliwość stosowania płatności związanych z produkcją w sektorach wymienionych w art. 33 rozporządzenia 2021/2115: zboża, nasiona oleiste (z wyłączeniem nasion słonecznika konfekcyjnego), rośliny wysokobiałkowe (w tym rośliny strączkowe oraz mieszanki roślin strączkowych i traw, pod warunkiem że rośliny strączkowe przeważają w mieszance), len, konopie, ryż, orzechy, ziemniaki skrobiowe, mleko i przetwory mleczne, nasiona, mięso baranie i kozie, wołowina i cielęcina, oliwa z oliwek i oliwki stołowe, jedwabniki, susz paszowy, chmiel, buraki cukrowe, trzcina cukrowa i korzenie cykorii, owoce i warzywa oraz zagajniki o krótkiej rotacji. Państwa członkowskie mają możliwość wspierania w ramach tych płatności sektorów, jeżeli są one istotne ze względów społeczno-ekonomicznych lub środowiskowych, a wsparcie ma na celu pokonanie napotykanych trudności przez zwiększenie ich konkurencyjności, zrównoważonego charakteru lub poprawę ich jakości.</w:t>
      </w:r>
    </w:p>
    <w:p w14:paraId="72E131F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Przeprowadzone diagnozy wykazały, że w warunkach Polski sytuacja taka dotyczy następujących sektorów: roślin strączkowych na nasiona, roślin pastewnych, ziemniaków skrobiowych, buraków cukrowych, pomidorów, chmielu, truskawek, lnu lub konopi włóknistych – w odniesieniu do produkcji roślinnej oraz bydła domowego (</w:t>
      </w:r>
      <w:r w:rsidRPr="00C543E1">
        <w:rPr>
          <w:rFonts w:ascii="Times New Roman" w:hAnsi="Times New Roman"/>
          <w:i/>
          <w:sz w:val="24"/>
          <w:szCs w:val="24"/>
        </w:rPr>
        <w:t>Bos taurus</w:t>
      </w:r>
      <w:r w:rsidRPr="00C543E1">
        <w:rPr>
          <w:rFonts w:ascii="Times New Roman" w:hAnsi="Times New Roman"/>
          <w:sz w:val="24"/>
          <w:szCs w:val="24"/>
        </w:rPr>
        <w:t>), owcy domowej (</w:t>
      </w:r>
      <w:r w:rsidRPr="00C543E1">
        <w:rPr>
          <w:rFonts w:ascii="Times New Roman" w:hAnsi="Times New Roman"/>
          <w:i/>
          <w:sz w:val="24"/>
          <w:szCs w:val="24"/>
        </w:rPr>
        <w:t>Ovis aries</w:t>
      </w:r>
      <w:r w:rsidRPr="00C543E1">
        <w:rPr>
          <w:rFonts w:ascii="Times New Roman" w:hAnsi="Times New Roman"/>
          <w:sz w:val="24"/>
          <w:szCs w:val="24"/>
        </w:rPr>
        <w:t>) lub kozy domowej (</w:t>
      </w:r>
      <w:r w:rsidRPr="00C543E1">
        <w:rPr>
          <w:rFonts w:ascii="Times New Roman" w:hAnsi="Times New Roman"/>
          <w:i/>
          <w:sz w:val="24"/>
          <w:szCs w:val="24"/>
        </w:rPr>
        <w:t>Capra hircus</w:t>
      </w:r>
      <w:r w:rsidRPr="00C543E1">
        <w:rPr>
          <w:rFonts w:ascii="Times New Roman" w:hAnsi="Times New Roman"/>
          <w:sz w:val="24"/>
          <w:szCs w:val="24"/>
        </w:rPr>
        <w:t xml:space="preserve">) – w odniesieniu do produkcji zwierzęcej. </w:t>
      </w:r>
    </w:p>
    <w:p w14:paraId="4445AD0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przypadku produkcji roślinnej wsparciem będzie objęta powierzchnia upraw roślin uprawianych w plonie głównym. Płatność związana z produkcją do powierzchni uprawy chmielu będzie przyznawana w wybranych rejonach. Ustanowienie rejonizacji przyczyni się do </w:t>
      </w:r>
      <w:r w:rsidRPr="00C543E1">
        <w:rPr>
          <w:rFonts w:ascii="Times New Roman" w:hAnsi="Times New Roman"/>
          <w:sz w:val="24"/>
          <w:szCs w:val="24"/>
        </w:rPr>
        <w:lastRenderedPageBreak/>
        <w:t xml:space="preserve">utrzymania już istniejących gospodarstw chmielarskich, z których wiele poniosło w ostatnich latach znaczne koszty podczas restrukturyzacji odmianowej i modernizacji produkcji. </w:t>
      </w:r>
    </w:p>
    <w:p w14:paraId="400B2A6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Projektowane przepisy przewidują również kontynuację wsparcia dla młodego bydła i krów, na warunkach, co do zasady, obowiązujących dotychczas, tj. wsparcie będzie przyznawane maksymalnie do 20 sztuk kwalifikujących się zwierząt, przy czym w przypadku:</w:t>
      </w:r>
    </w:p>
    <w:p w14:paraId="07676561" w14:textId="77777777" w:rsidR="00F9038A" w:rsidRPr="00C543E1" w:rsidRDefault="00F9038A" w:rsidP="00530A3D">
      <w:pPr>
        <w:numPr>
          <w:ilvl w:val="0"/>
          <w:numId w:val="21"/>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płatności do bydła, jeżeli rolnik posiada samice lub samce tego gatunku, których wiek w dniu 15 maja roku, w którym został złożony wniosek o przyznanie tej płatności, nie przekracza 24 miesięcy;</w:t>
      </w:r>
    </w:p>
    <w:p w14:paraId="24A8DC2F" w14:textId="77777777" w:rsidR="00F9038A" w:rsidRPr="00C543E1" w:rsidRDefault="00F9038A" w:rsidP="00530A3D">
      <w:pPr>
        <w:numPr>
          <w:ilvl w:val="0"/>
          <w:numId w:val="21"/>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płatności do krów, jeżeli rolnik posiada samice tego gatunku, których wiek w dniu 15 maja roku, w którym został złożony wniosek o przyznanie tej płatności, przekracza 24 miesiące.</w:t>
      </w:r>
    </w:p>
    <w:p w14:paraId="7D13B56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Jak wynika z przeprowadzonych analiz w najtrudniejszej sytuacji znajdują się gospodarstwa z małymi i bardzo małymi stadami, tj. liczącymi do 20 sztuk młodego bydła (84% wszystkich gospodarstw) oraz krów (90% wszystkich gospodarstw). Zarówno liczba takich stad w Polsce, jak i ilość utrzymywanych w nich zwierząt w latach 2006–2019 ulegała systematycznemu zmniejszeniu, co przekładało się na spadek udziału tej grupy w populacji. Ponadto na przestrzeni ostatnich kilkunastu lat w tej grupie jako jedynej nastąpiło znaczące ograniczenie liczby gospodarstw utrzymujących zwierzęta. Dodatkowo gospodarstwa te osiągają zdecydowanie najniższe dochody (poniżej dochodu parytetowego na osobę w gospodarce narodowej) z działalności rolniczej. Natomiast w gospodarstwach utrzymujących więcej niż 20 sztuk zwierząt jest obserwowany wzrost produkcji. W związku z powyższym zaproponowany limit liczby zwierząt w gospodarstwie zapewnia wsparcie wyłącznie tym gospodarstwom, w których obserwuje się tendencję spadkową, a więc gwarantuje zgodność wdrażanych rozwiązań z ww. przepisami UE.</w:t>
      </w:r>
    </w:p>
    <w:p w14:paraId="7823822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Płatnością do bydła została objęta populacja zwierząt najczęściej przeznaczana do produkcji mięsa. Wiek do 24. miesiąca życia to wiek, w którym opas ma okres najintensywniejszego wzrostu.</w:t>
      </w:r>
    </w:p>
    <w:p w14:paraId="054488CE"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Natomiast wsparciem do krów zostały objęte samice bydła w wieku powyżej 24 miesięcy, co zapewnia wsparcie głównie sektorowi mleczarskiemu. Pierwsze wycielenia u samic bydła następują w wieku 24–27 miesięcy, od tego momentu rozpoczyna się produkcja mleka (laktacja). Ponadto przyjęty wiek krów spowoduje, że płatnością zostaną objęte samice w pełni dojrzałe rozpłodowo (z reguły po pierwszym cieleniu). Skierowanie wsparcia do samic w wieku rozpłodowym jest podyktowane tym, że ta kategoria zwierząt decyduje o utrzymaniu produkcji. </w:t>
      </w:r>
      <w:r w:rsidRPr="00C543E1">
        <w:rPr>
          <w:rFonts w:ascii="Times New Roman" w:hAnsi="Times New Roman"/>
          <w:sz w:val="24"/>
          <w:szCs w:val="24"/>
        </w:rPr>
        <w:lastRenderedPageBreak/>
        <w:t>Zwierzęta młodsze mogą być bowiem przedmiotem znaczących przemieszczeń, w tym także międzynarodowych (handel, ubój).</w:t>
      </w:r>
    </w:p>
    <w:p w14:paraId="314105B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Dodatkowo z uwagi na specyficzne trudności, jakich doświadczają rolnicy z województw, w których średnia wielkość gruntów rolnych jest niższa od średniej krajowej (tj. województw: lubelskiego, łódzkiego, małopolskiego, mazowieckiego, podkarpackiego, śląskiego i świętokrzyskiego) przewiduje się, że ci rolnicy będą mogli ubiegać się o płatność do krów i młodego bydła posiadając tylko 1 sztukę kwalifikujących się zwierząt (w przypadku pozostałych województw – tak, jak obecnie co najmniej 3 sztuki). Struktura gospodarstw oraz warunki ekonomiczne i środowiskowe w tych województwach powodują, że prowadzenie gospodarstw większych jest tam utrudnione. W województwach tych dominują jednostki dysponujące małym areałem UR i mniejszą liczbą zwierząt, a zatem słabsze ekonomicznie i dlatego mają one ograniczone możliwości inwestowania w rozwój.</w:t>
      </w:r>
    </w:p>
    <w:p w14:paraId="26848D1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związku z powyższym jest zasadne zastosowanie w regionach o większym rozdrobnieniu odmiennych narzędzi wsparcia niż w województwach, w których średnia powierzchnia gospodarstw jest większa. W przypadku większych gospodarstw rolnych ze względu na większy potencjał ekonomiczny są one w stanie dokonywać zakupu kolejnych gruntów na powiększenie powierzchni gospodarstw.</w:t>
      </w:r>
    </w:p>
    <w:p w14:paraId="46250511" w14:textId="2A080D23"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Ponadto w województwach, w których średnia wielkość gruntów rolnych jest niższa od średniej krajowej, obserwuje się większą skalę niewykorzystanych trwałych użytków zielonych (TUZ) oraz większy zanik chowu niż w pozostałych regionach kraju. Przyjęcie dolnej granicy dostępu do płatności do 1 sztuki w tych regionach będzie sprzyjać efektywnemu wykorzystaniu TUZ.</w:t>
      </w:r>
    </w:p>
    <w:p w14:paraId="15403DF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projektowanymi przepisami będą kontynuowane również płatności związane z produkcją do zwierząt gatunków owca domowa i koza domowa na zasadach obowiązujących obecnie. W związku z powyższym proponuje się, aby płatności te były przyznawane rolnikowi jeżeli:</w:t>
      </w:r>
    </w:p>
    <w:p w14:paraId="5C96BA19" w14:textId="77777777" w:rsidR="00F9038A" w:rsidRPr="00C543E1" w:rsidRDefault="00F9038A" w:rsidP="00530A3D">
      <w:pPr>
        <w:numPr>
          <w:ilvl w:val="0"/>
          <w:numId w:val="22"/>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posiada samice danego gatunku, których wiek w dniu 15 maja roku, w którym został złożony wniosek o przyznanie tej płatności, wynosi co najmniej 12 miesięcy;</w:t>
      </w:r>
    </w:p>
    <w:p w14:paraId="1D6E2AD9" w14:textId="77777777" w:rsidR="00F9038A" w:rsidRPr="00C543E1" w:rsidRDefault="00F9038A" w:rsidP="00530A3D">
      <w:pPr>
        <w:numPr>
          <w:ilvl w:val="0"/>
          <w:numId w:val="22"/>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liczba zwierząt, o których mowa w pkt 1, objętych wnioskiem o przyznanie danej płatności złożonym przez tego rolnika wynosi co najmniej:</w:t>
      </w:r>
    </w:p>
    <w:p w14:paraId="266E918A" w14:textId="77777777" w:rsidR="00F9038A" w:rsidRPr="00C543E1" w:rsidRDefault="00F9038A" w:rsidP="00530A3D">
      <w:pPr>
        <w:numPr>
          <w:ilvl w:val="0"/>
          <w:numId w:val="23"/>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10 sztuk – w przypadku owiec,</w:t>
      </w:r>
    </w:p>
    <w:p w14:paraId="7AD21247" w14:textId="77777777" w:rsidR="00F9038A" w:rsidRPr="00C543E1" w:rsidRDefault="00F9038A" w:rsidP="00530A3D">
      <w:pPr>
        <w:numPr>
          <w:ilvl w:val="0"/>
          <w:numId w:val="23"/>
        </w:numPr>
        <w:autoSpaceDE w:val="0"/>
        <w:autoSpaceDN w:val="0"/>
        <w:adjustRightInd w:val="0"/>
        <w:spacing w:after="0" w:line="360" w:lineRule="auto"/>
        <w:ind w:left="1020" w:hanging="510"/>
        <w:jc w:val="both"/>
        <w:rPr>
          <w:rFonts w:ascii="Times New Roman" w:eastAsiaTheme="minorHAnsi" w:hAnsi="Times New Roman"/>
          <w:sz w:val="24"/>
          <w:szCs w:val="24"/>
        </w:rPr>
      </w:pPr>
      <w:r w:rsidRPr="00C543E1">
        <w:rPr>
          <w:rFonts w:ascii="Times New Roman" w:eastAsiaTheme="minorHAnsi" w:hAnsi="Times New Roman"/>
          <w:sz w:val="24"/>
          <w:szCs w:val="24"/>
        </w:rPr>
        <w:t>5 sztuk – w przypadku kóz.</w:t>
      </w:r>
    </w:p>
    <w:p w14:paraId="6814220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Ze względu na fakt, że o utrzymaniu i odnowie stad owiec decyduje przede wszystkim liczba maciorek oraz przystępek, tj. młodych samic, które jeszcze nie rodziły, ale są przeznaczone do rozpłodu (jagnięta częściej są przeznaczane na ubój, tryki utrzymywane są w niewielkich liczbach, 1 tryk wystarcza na 20</w:t>
      </w:r>
      <w:r w:rsidRPr="00C543E1">
        <w:rPr>
          <w:rFonts w:ascii="Times New Roman" w:eastAsiaTheme="minorHAnsi" w:hAnsi="Times New Roman"/>
          <w:sz w:val="24"/>
          <w:szCs w:val="24"/>
        </w:rPr>
        <w:t>–</w:t>
      </w:r>
      <w:r w:rsidRPr="00C543E1">
        <w:rPr>
          <w:rFonts w:ascii="Times New Roman" w:hAnsi="Times New Roman"/>
          <w:sz w:val="24"/>
          <w:szCs w:val="24"/>
        </w:rPr>
        <w:t xml:space="preserve">30 maciorek), proponuje się skierowanie wsparcia do samic w wieku od 12. miesiąca życia. Większość ras owiec uzyskuje pełną dojrzałość w wieku ok. 1,5 roku, z tym że są znaczne różnice pomiędzy rasami – rasy wcześnie dojrzewające (np. teksel) – ok. 8 miesięcy. Przyjmuje się, że gotowe do rozpłodu są samice, które osiągnęły 2/3 do 3/4 przeciętnego ciężaru owiec dorosłych danej rasy. W związku z tym, że decyzje o przeznaczeniu owiec do dalszej hodowli, zarówno w stosunku do owiec starszych, jak i przystępek, podejmuje się wcześniej przed sezonem krycia (stanówką) przyjęty wiek 12 miesięcy pozwoli na właściwe ukierunkowanie wsparcia. </w:t>
      </w:r>
    </w:p>
    <w:p w14:paraId="6769761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Zaproponowana minimalna wielkość stada uprawniająca do ubiegania się o płatność do owiec jest w warunkach polskich optymalna do osiągnięcia zakładanych celów. W dotychczasowej praktyce hodowlanej przyjęło się, że minimalne stado, które ma możliwość utrzymania stada zachowawczego i produkcji materiału hodowlanego, powinno liczyć co najmniej 10 sztuk maciorek – zwłaszcza, że w przypadku owiec stosuje się głównie rozród naturalny, więc stado powinno być zdolne do utrzymania tryka. Jest to liczba zwierząt, która umożliwia zachowanie zmienności genetycznej w stadzie oraz ewentualną produkcję wystarczającą dla gospodarstwa rodzinnego, a przy tym dającą możliwość rozwoju tej produkcji.</w:t>
      </w:r>
    </w:p>
    <w:p w14:paraId="53E39E7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związku z powyższym zaproponowany próg posiadania co najmniej 10 maciorek owczych zachęca do utrzymywania stad o skali zapobiegającej zaprzestaniu produkcji i, w konsekwencji, negatywnym skutkom środowiskowym oraz społecznym, a także pełni funkcję prorozwojową dla gospodarstw, które mają predyspozycje do rozwoju działalności.</w:t>
      </w:r>
    </w:p>
    <w:p w14:paraId="5E42A30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 kolei w przypadku kóz, ze względu na fakt, że o utrzymaniu i odnowie stad decyduje przede wszystkim liczba samic, które osiągają pełną dojrzałość do rozpłodu dopiero po ukończeniu pierwszego roku życia (średni wiek pierwszego wykotu w polskiej populacji kóz wynosi 13 miesięcy), proponuje się skierowanie wsparcia do samic w wieku od 12 miesiąca życia.</w:t>
      </w:r>
    </w:p>
    <w:p w14:paraId="3D752A0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Natomiast wielkość graniczna dla kóz na poziomie 5 sztuk stada podstawowego jest kompromisem między potencjalnie możliwą do osiągnięcia wielkością stada, która będzie związana z faktycznym użytkowaniem rolniczym, a możliwością i chęcią rolników do utrzymywania większej liczby kóz. Hodowla kóz może być szansą przede wszystkim dla małych i średnich gospodarstw rolnych. Mając na względzie, że średnia wielkość stada oscyluje </w:t>
      </w:r>
      <w:r w:rsidRPr="00C543E1">
        <w:rPr>
          <w:rFonts w:ascii="Times New Roman" w:hAnsi="Times New Roman"/>
          <w:sz w:val="24"/>
          <w:szCs w:val="24"/>
        </w:rPr>
        <w:lastRenderedPageBreak/>
        <w:t xml:space="preserve">w okolicach 5 sztuk kóz, podniesienie minimalnej liczby kóz w stadzie spowodowałoby, że o wsparcie mogliby się ubiegać nieliczni rolnicy utrzymujący kozy, co mogłoby doprowadzić do istotnego zmniejszenia pogłowia. Ponadto kozy są często traktowane jako zwierzęta towarzyszące i są gatunkiem uzupełniającym w gospodarstwie. </w:t>
      </w:r>
    </w:p>
    <w:p w14:paraId="52DAD46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związku z powyższym zaproponowana minimalna wielkość stada uprawniająca do ubiegania się o płatność do kóz jest w warunkach polskich optymalna do osiągnięcia zakładanych celów. Z jednej strony pełni funkcję prorozwojową dla gospodarstw, które mają predyspozycje do rozwoju działalności, a z drugiej strony zapewnia utrzymywanie stad w skali zapobiegającej zaprzestaniu produkcji i, w konsekwencji, negatywnym skutkom środowiskowym i społecznym.</w:t>
      </w:r>
    </w:p>
    <w:p w14:paraId="3013E05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Posiadanie zwierząt w okresie przetrzymywania oraz wiek zwierząt w dniu 15 maja danego roku będą potwierdzane w komputerowej bazie danych prowadzonej na podstawie ustawy z dnia 4 listopada 2022 r. o systemie identyfikacji i rejestracji zwierząt.</w:t>
      </w:r>
    </w:p>
    <w:p w14:paraId="059250C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Do obliczania wieku zwierząt będą zastosowanie miały przepisy Kodeksu cywilnego (Kc) dotyczące obliczania terminów, z tym że termin upływa z początkiem ostatniego dnia (zgodnie z Kc termin oznaczony w tygodniach miesiącach lub latach kończy się z upływem dnia, który nazwą lub datą odpowiada początkowemu dniu terminu). Takie rozwiązanie ma na celu zapewnienie, aby płatność do bydła mogła przysługiwać maksymalnie dwa razy w życiu zwierzęcia. </w:t>
      </w:r>
    </w:p>
    <w:p w14:paraId="5931E71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Szczegółowe warunki przyznawania płatności związanych z produkcją zostaną doprecyzowane w rozporządzeniu, które zostanie wydane na podstawie art. 70 projektowanej ustawy. </w:t>
      </w:r>
    </w:p>
    <w:p w14:paraId="6A7A4BE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Ekoschematy</w:t>
      </w:r>
    </w:p>
    <w:p w14:paraId="70BF60E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Jednymi z płatności, dla których przyznawanie pomocy następuje w drodze decyzji administracyjnej, są płatności w ramach schematów na rzecz klimatu, środowiska i dobrostanu zwierząt, o których mowa w art. 16 ust. 2 lit. d rozporządzenia 2021/2115, zwane dalej „płatnościami w ramach ekoschematów”.</w:t>
      </w:r>
    </w:p>
    <w:p w14:paraId="78F5FC7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Płatności w ramach ekoschematów stanowią nowy komponent systemu płatności bezpośrednich, którego celem jest realizacja celów środowiskowych i klimatycznych WPR dotyczących łagodzenia zmiany klimatu i przystosowania się do niej, wspierania zrównoważonego rozwoju i ochrony zasobów naturalnych takich jak woda, gleba i powietrze oraz ochrony bioróżnorodności. Zgodnie z przepisami unijnymi (art. 31 ust. 1 rozporządzenia </w:t>
      </w:r>
      <w:r w:rsidRPr="00C543E1">
        <w:rPr>
          <w:rFonts w:ascii="Times New Roman" w:hAnsi="Times New Roman"/>
          <w:sz w:val="24"/>
          <w:szCs w:val="24"/>
        </w:rPr>
        <w:lastRenderedPageBreak/>
        <w:t xml:space="preserve">2021/2115) jest to obowiązkowy do wdrożenia przez państwa członkowskie element systemu płatności bezpośrednich, który jest natomiast dobrowolny dla rolników. Niemniej jednak ze względu na to, że ekoschematy są nowym rodzajem płatności bezpośrednich, to należało stworzyć przepisy regulujące zasady przyznawania tych płatności. W tym kontekście należy zauważyć, że warunki przyznawania płatności w ramach ekoschematów, zostały w projektowanej ustawie uregulowane na podstawie rozwiązań przyjętych w Planie Strategicznym zgodnie z art. 31 rozporządzenia 2021/2115. </w:t>
      </w:r>
    </w:p>
    <w:p w14:paraId="0FE2A2F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przepisach projektowanej ustawy określono, że płatności w ramach ekoschematów będą wypłacane w formie płatności do: obszarów z roślinami miododajnymi, rolnictwa węglowego i zarządzania składnikami odżywczymi, integrowanej produkcji roślin, biologicznej ochrony upraw, retencjonowania wody na TUZ oraz w formie płatności dobrostanowej. </w:t>
      </w:r>
    </w:p>
    <w:p w14:paraId="0492B9D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Mając na uwadze, że ekoschematy są rodzajem płatności bezpośrednich, w projektowanej ustawie proponuje się, aby w przypadku tych ekoschematów, w których płatności będą wypłacane do powierzchni gruntu lub liczby punktów za realizację praktyk na powierzchni gruntu były one przyznawane, tak jak pozostałe płatności obszarowe, do działek położonych na gruntach stanowiących kwalifikujący się hektar, o powierzchni nie mniejszej niż 0,1 ha i nie większej niż określony maksymalny kwalifikujący się obszar, o którym mowa w art. 2 ust</w:t>
      </w:r>
      <w:r w:rsidR="00C543E1">
        <w:rPr>
          <w:rFonts w:ascii="Times New Roman" w:hAnsi="Times New Roman"/>
          <w:sz w:val="24"/>
          <w:szCs w:val="24"/>
        </w:rPr>
        <w:t>.</w:t>
      </w:r>
      <w:r w:rsidRPr="00C543E1">
        <w:rPr>
          <w:rFonts w:ascii="Times New Roman" w:hAnsi="Times New Roman"/>
          <w:sz w:val="24"/>
          <w:szCs w:val="24"/>
        </w:rPr>
        <w:t xml:space="preserve"> 7 lit. a rozporządzenia delegowanego Komisji (UE) 2022/1172 z dnia 4 maja 2022 r. uzupełniającego rozporządzenie Parlamentu Europejskiego i Rady (UE) 2021/2116 w odniesieniu do zintegrowanego systemu zarządzania i kontroli we wspólnej polityce rolnej oraz stosowania i obliczania wysokości kar administracyjnych w związku z warunkowością (Dz. Urz. UE L 183 z 08.07.2022, str. 12), zwanego dalej „rozporządzeniem 2021/1172”, oraz będących w posiadaniu wnioskującego na podstawie tytułu prawnego w dniu 31 maja roku składania wniosku o tę płatność. Ponadto wskazuje się, że płatności w ramach ekoschematów powinny być wypłacane do gruntów </w:t>
      </w:r>
      <w:r w:rsidRPr="00C543E1">
        <w:rPr>
          <w:rFonts w:ascii="Times New Roman" w:eastAsiaTheme="minorEastAsia" w:hAnsi="Times New Roman"/>
          <w:bCs/>
          <w:sz w:val="24"/>
          <w:szCs w:val="24"/>
          <w:lang w:eastAsia="pl-PL"/>
        </w:rPr>
        <w:t>położonych na obszarze zatwierdzonym do podstawowego wsparcia dochodów</w:t>
      </w:r>
      <w:r w:rsidRPr="00C543E1">
        <w:rPr>
          <w:rFonts w:ascii="Times New Roman" w:hAnsi="Times New Roman"/>
          <w:sz w:val="24"/>
          <w:szCs w:val="24"/>
        </w:rPr>
        <w:t xml:space="preserve">. </w:t>
      </w:r>
    </w:p>
    <w:p w14:paraId="0BEF69D6"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przepisami projektowanej ustawy (art. 70), w przepisach krajowych wydanych na podstawie upoważnienia określonego w projekcie ustawy zostaną określone szczegółowe warunki lub szczegółowy tryb przyznawania lub wypłaty poszczególnych płatności bezpośrednich, w tym. m.in. płatności w ramach ww. ekoschematów. Niemniej jednak w projektowanej ustawie proponuje się, aby w przypadku płatności do:</w:t>
      </w:r>
    </w:p>
    <w:p w14:paraId="7ABBE139" w14:textId="77777777" w:rsidR="00F9038A" w:rsidRPr="00C543E1" w:rsidRDefault="00F9038A" w:rsidP="00530A3D">
      <w:pPr>
        <w:tabs>
          <w:tab w:val="left" w:pos="532"/>
        </w:tabs>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1)</w:t>
      </w:r>
      <w:r w:rsidRPr="00C543E1">
        <w:rPr>
          <w:rFonts w:ascii="Times New Roman" w:hAnsi="Times New Roman"/>
          <w:sz w:val="24"/>
          <w:szCs w:val="24"/>
        </w:rPr>
        <w:tab/>
        <w:t xml:space="preserve">obszarów z roślinami miododajnymi były przyznawane do powierzchni gruntów posiadanych przez rolnika, na których będą uprawiane rośliny miododajne, które zostaną wskazane w przepisach krajowych, o których mowa powyżej; </w:t>
      </w:r>
    </w:p>
    <w:p w14:paraId="14BC478A" w14:textId="77777777" w:rsidR="00F9038A" w:rsidRPr="00C543E1" w:rsidRDefault="00F9038A" w:rsidP="00530A3D">
      <w:pPr>
        <w:tabs>
          <w:tab w:val="left" w:pos="532"/>
        </w:tabs>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2)</w:t>
      </w:r>
      <w:r w:rsidRPr="00C543E1">
        <w:rPr>
          <w:rFonts w:ascii="Times New Roman" w:hAnsi="Times New Roman"/>
          <w:sz w:val="24"/>
          <w:szCs w:val="24"/>
        </w:rPr>
        <w:tab/>
        <w:t>rolnictwa węglowego i zarządzania składnikami odżywczymi mogły być przyznawane rolnikowi, jeżeli będzie realizował praktyki mające na celu zwiększenie sekwestracji węgla w glebie i poprawę zarządzania składnikami odżywczymi i uzyska minimalną liczbę punktów za realizację tych praktyk. Przewiduje się, że zarówno praktyki, jak i liczba punktów przyznawana za ich realizację, będą określone w przepisach rozporządzenia, o których mowa powyżej. Z kolei płatność za realizację praktyk będzie przyznawana rolnikowi do liczby punktów uzyskanych za ich wykonanie;</w:t>
      </w:r>
    </w:p>
    <w:p w14:paraId="1611281E" w14:textId="77777777" w:rsidR="00F9038A" w:rsidRPr="00C543E1" w:rsidRDefault="00F9038A" w:rsidP="00530A3D">
      <w:pPr>
        <w:tabs>
          <w:tab w:val="left" w:pos="532"/>
        </w:tabs>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3)</w:t>
      </w:r>
      <w:r w:rsidRPr="00C543E1">
        <w:rPr>
          <w:rFonts w:ascii="Times New Roman" w:hAnsi="Times New Roman"/>
          <w:sz w:val="24"/>
          <w:szCs w:val="24"/>
        </w:rPr>
        <w:tab/>
        <w:t>integrowanej produkcji roślin były przyznawane do powierzchni, zarówno posiadanych przez rolnika gruntów, na których prowadzi on integrowaną produkcję roślin, co jest potwierdzone informacjami zawartymi w odpowiednim wykazie, przekazanym przez właściwe jednostki certyfikujące do ARiMR, jak również do powierzchni posiadanych przez rolnika TUZ w gospodarstwie nie większej niż powierzchnia, na której jest prowadzona integrowana produkcja roślin. Informacje dotyczące wykazu sporządzanego na potrzeby udzielenia producentom roślin, którzy prowadzą integrowaną produkcję roślin, pomocy finansowej z udziałem środków EFRG, zostały określone w projektowanej zmianie ustawy z dnia 8 marca 2013 r. o środkach ochrony roślin oraz zostaną doprecyzowane w przepisach rozporządzenia wydanego na podstawie projektowanej ustawy;</w:t>
      </w:r>
    </w:p>
    <w:p w14:paraId="2B3CB61B" w14:textId="77777777" w:rsidR="00F9038A" w:rsidRPr="00C543E1" w:rsidRDefault="00F9038A" w:rsidP="00530A3D">
      <w:pPr>
        <w:tabs>
          <w:tab w:val="left" w:pos="532"/>
        </w:tabs>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4)</w:t>
      </w:r>
      <w:r w:rsidRPr="00C543E1">
        <w:rPr>
          <w:rFonts w:ascii="Times New Roman" w:hAnsi="Times New Roman"/>
          <w:sz w:val="24"/>
          <w:szCs w:val="24"/>
        </w:rPr>
        <w:tab/>
        <w:t xml:space="preserve">biologicznej ochrony upraw były przyznawane do powierzchni posiadanych przez rolnika gruntów, na których przeprowadził on zabieg ochrony upraw przy użyciu środka ochrony roślin zawierającego mikroorganizmy jako substancje czynne, dopuszczonego do obrotu na podstawie wydanego przez ministra właściwego do spraw rolnictwa zezwolenia, o którym mowa w art. 28 ust. 1, art. 30 ust. 1, art. 41, art. 51 lub w art. 53 ust. 1 rozporządzenia Parlamentu Europejskiego i Rady (WE) nr 1107/2009 z dnia 21 października 2009 r. dotyczącego wprowadzania do obrotu środków ochrony roślin i uchylającego dyrektywy Rady 79/117/EWG i 91/414/EWG (Dz. Urz. UE L 309 z 24.11.2009, str. 1, z późn. zm.), lub pozwolenia na handel równoległy, o którym mowa w art. 52 tego rozporządzenia, zgodnie z zawartymi w etykiecie wymaganiami, o których mowa w art. 31 ust. 1–3, ust. 4 lit. a–d lub lit. f–h tego rozporządzenia. Niemniej jednak, jeżeli eliminacja danego agrofaga przy pomocy takiego preparatu okaże się nieskuteczna, wówczas dopuszczony będzie zabieg chemicznym środkiem ochrony roślin; </w:t>
      </w:r>
    </w:p>
    <w:p w14:paraId="5322EDEB" w14:textId="77777777" w:rsidR="00F9038A" w:rsidRPr="00C543E1" w:rsidRDefault="00F9038A" w:rsidP="00530A3D">
      <w:pPr>
        <w:tabs>
          <w:tab w:val="left" w:pos="532"/>
        </w:tabs>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5)</w:t>
      </w:r>
      <w:r w:rsidRPr="00C543E1">
        <w:rPr>
          <w:rFonts w:ascii="Times New Roman" w:hAnsi="Times New Roman"/>
          <w:sz w:val="24"/>
          <w:szCs w:val="24"/>
        </w:rPr>
        <w:tab/>
        <w:t>retencjonowania wody na TUZ proponuje się, aby były przyznawane do powierzchni TUZ określonych w przepisach krajowych wydanych na podstawie upoważnienia określonego w projekcie ustawy pod warunkiem, że na tych gruntach w danym roku wystąpi zalanie lub podtopienie i będzie to potwierdzone danymi zawartymi w sporządzanym przez Instytut Uprawy Nawożenia i Gleboznawstwa – PIB i udostępnionym ARiMR nie później niż do dnia 2 października danego roku wykazie działek zawierającym również ich dane przestrzenne.</w:t>
      </w:r>
    </w:p>
    <w:p w14:paraId="7E0E2E7A"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Płatność dobrostanowa </w:t>
      </w:r>
    </w:p>
    <w:p w14:paraId="011A03E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Kwestie związane z przyznawaniem płatności dobrostanowych zostały uregulowane w przepisach art. 36 projektowanej ustawy.</w:t>
      </w:r>
    </w:p>
    <w:p w14:paraId="5E15231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Ekoschemat realizowany w formie płatności do dobrostanu zwierząt będzie, co do zasady, kontynuacją wsparcia w ramach działania Dobrostan zwierząt PROW 2014–2020. Niemniej jednak w porównaniu do rozwiązań ujętych w ww. działaniu w ekoschemacie tym zostanie rozszerzony zakres wsparcia o gatunki zwierząt dotychczas nie wspierane płatnościami dobrostanowymi (tj. koza domowa, koń, kura, indyk). Ponadto w ramach ww. ekoschematu w odniesieniu do bydła i świń zostanie zastosowany system punktowy zamiast dotychczasowego systemu wariantowego. System punktowy umożliwi przyznawanie wsparcia rolnikom za realizację dodatkowych praktyk sprzyjających podwyższeniu poziomu dobrostanu zwierząt. W zależności od decyzji rolnika będzie on mógł realizować jedną lub kilka praktyk dodatkowych.</w:t>
      </w:r>
    </w:p>
    <w:p w14:paraId="6BF0FA15"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Proponuje się, aby wsparcie finansowe w ramach ekoschematu realizowanego w formie płatności do dobrostanu zwierząt było udzielane rolnikowi za realizację praktyk, których celem jest podwyższenie poziomu dobrostanu zwierząt – w odniesieniu do zwierząt gatunków: świnia, bydło domowe, owca domowa, koza domowa, koń, kura lub indyk. </w:t>
      </w:r>
    </w:p>
    <w:p w14:paraId="16B6E82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Analogicznie jak w ramach działania Dobrostan zwierząt PROW 2014–2020, w przypadku ekoschematu – dobrostan zwierząt rolnik we wniosku o przyznanie płatności dobrostanowych nie będzie deklarował konkretnych zwierząt, w odniesieniu do których będzie realizował praktyki podwyższające poziom dobrostanu (tzw. „system wniosków automatycznych”). Rolnik będzie bowiem obowiązany do realizacji tych praktyk w odniesieniu do wszystkich zwierząt danego gatunku i grupy technologicznej w gospodarstwie w okresie, jaki zostanie wskazany jako warunek otrzymania płatności dobrostanowych. Tym samym do przyznawania pomocy będą wykorzystywane przez ARiMR dane zawarte w komputerowej bazie danych prowadzonej przez ARiMR na podstawie ustawy z dnia 4 listopada 2022 r. o systemie identyfikacji i rejestracji zwierząt. Komputerowa baza danych będzie wykorzystywana nie </w:t>
      </w:r>
      <w:r w:rsidRPr="00C543E1">
        <w:rPr>
          <w:rFonts w:ascii="Times New Roman" w:hAnsi="Times New Roman"/>
          <w:sz w:val="24"/>
          <w:szCs w:val="24"/>
        </w:rPr>
        <w:lastRenderedPageBreak/>
        <w:t xml:space="preserve">tylko na potrzeby określenia liczby zwierząt objętych wnioskiem o przyznanie pomocy, ale również informacje w niej zawarte będą stanowić potwierdzenie, że rolnik jest posiadaczem tych zwierząt. Tylko bowiem do takich zwierząt mogą zostać przyznane płatności dobrostanowe. </w:t>
      </w:r>
    </w:p>
    <w:p w14:paraId="01F5B33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Przejściowe wsparcie krajowe </w:t>
      </w:r>
    </w:p>
    <w:p w14:paraId="49E9B0B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projektowanymi przepisami, na podstawie art. 147 rozporządzenia 2021/2115, przejściowe wsparcie krajowe (PWK) jest przyznawane w formie uzupełniającej płatności podstawowej (UPP) oraz płatności niezwiązanej do tytoniu. Przepisy UE stanowią, że PWK może być stosowane na dotychczasowych zasadach, a jedynie w drodze wyjątku można dostosować okres referencyjny (jeżeli taki został określony dla danej płatności).</w:t>
      </w:r>
    </w:p>
    <w:p w14:paraId="252CD42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związku z powyższym </w:t>
      </w:r>
      <w:r w:rsidRPr="00C543E1">
        <w:rPr>
          <w:rFonts w:ascii="Times New Roman" w:eastAsia="Times New Roman" w:hAnsi="Times New Roman"/>
          <w:sz w:val="24"/>
          <w:szCs w:val="24"/>
        </w:rPr>
        <w:t xml:space="preserve">w projektowanym art. 38 zaproponowano, że </w:t>
      </w:r>
      <w:r w:rsidRPr="00C543E1">
        <w:rPr>
          <w:rFonts w:ascii="Times New Roman" w:hAnsi="Times New Roman"/>
          <w:sz w:val="24"/>
          <w:szCs w:val="24"/>
        </w:rPr>
        <w:t>UPP będzie kontynuowana na dotychczasowych zasadach. Płatności te będą przysługiwały do upraw niektórych rodzajów roślin uprawianych w plonie głównym (w szczególności: zbóż, roślin oleistych, roślin wysokobiałkowych) oraz do gruntów ornych, na których nie jest prowadzona uprawa roślin, pod warunkiem, że do gruntów tych przyznano płatność podstawową. Rodzaje roślin, do upraw których przysługuje UPP, a także szczegółowe wymagania, jakie powinny spełniać uprawy poszczególnych roślin lub grunty orne, na których nie jest prowadzona uprawa roślin, do których przysługuje UPP, zostaną określone w rozporządzeniu wydanym na podstawie przepisów projektowanej ustawy.</w:t>
      </w:r>
    </w:p>
    <w:p w14:paraId="43D439E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Założono, że wdrożenie UPP ze względu na jej szeroki zakres przyczyni się do wzrostu średniego poziomu wsparcia dla zdecydowanej większości rolników. Zastosowanie tej płatności pozwoli zatem na zmniejszenie różnicy między przeciętnym dochodem z pracy w gospodarstwie rolnym a przeciętnym wynagrodzeniem w gospodarce narodowej, a także różnicy między średnim wsparciem bezpośrednim w Polsce i w UE.</w:t>
      </w:r>
    </w:p>
    <w:p w14:paraId="3FBD58C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Projektowane przepisy (art. 39 i art. 40) przewidują przyznawanie w ramach przejściowego wsparcia krajowego również płatności niezwiązanej do tytoniu (na podstawie art. 147 rozporządzenia 2021/2115) oraz określają warunki przyznawania tego wsparcia. W przypadku tej płatności zaproponowano, po uzgodnieniu z przedstawicielami sektora tytoniu, aktualizację okresu referencyjnego. Mianowicie od 2023 r. podstawowym okresem referencyjnym będzie 2018 r., a w przypadku gdy rolnicy byli wpisani do rejestru Krajowego Ośrodka Wsparcia Rolnictwa w 2018 r., ale nie zawarli umowy zbycia surowca </w:t>
      </w:r>
      <w:r w:rsidRPr="00C543E1">
        <w:rPr>
          <w:rFonts w:ascii="Times New Roman" w:eastAsia="Times New Roman" w:hAnsi="Times New Roman"/>
          <w:sz w:val="24"/>
          <w:szCs w:val="24"/>
        </w:rPr>
        <w:t>tytoniowego</w:t>
      </w:r>
      <w:r w:rsidRPr="00C543E1">
        <w:rPr>
          <w:rFonts w:ascii="Times New Roman" w:hAnsi="Times New Roman"/>
          <w:sz w:val="24"/>
          <w:szCs w:val="24"/>
        </w:rPr>
        <w:t xml:space="preserve"> w 2018 r. płatności będą przyznawane proporcjonalnie do produkcji w 2017 r. Zaproponowane rozwiązanie </w:t>
      </w:r>
      <w:r w:rsidRPr="00C543E1">
        <w:rPr>
          <w:rFonts w:ascii="Times New Roman" w:hAnsi="Times New Roman"/>
          <w:sz w:val="24"/>
          <w:szCs w:val="24"/>
        </w:rPr>
        <w:lastRenderedPageBreak/>
        <w:t>pozwoli na lepsze ukierunkowanie wsparcia i realną pomoc tym rolnikom, którzy w stosunkowo nieodległym okresie referencyjnym produkowali tytoń i nadal w znacznej części są związani z tym sektorem.</w:t>
      </w:r>
    </w:p>
    <w:p w14:paraId="5E03EE0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Płatności rolno-środowiskowo-klimatyczne </w:t>
      </w:r>
    </w:p>
    <w:p w14:paraId="57CEBE8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projektowanych przepisach rozdziału 4 uregulowano również płatności za realizację zobowiązań w ramach interwencji związanych ze środowiskiem, klimatem i innych zobowiązań w dziedzinie zarządzania o których mowa w art. 69 lit. a rozporządzenia 2021/2115, w tym płatności rolno-środowiskowo-klimatyczne. </w:t>
      </w:r>
    </w:p>
    <w:p w14:paraId="316F5DC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Interwencje rolno-środowiskowo-klimatyczne w ramach Planu Strategicznego stanowią w dużej części kontynuację dotychczasowego podejścia stosowanego w ramach Działania rolno-środowiskowo-klimatycznego PROW 2014–2020, a jednocześnie uwzględniają nowe rozwiązania wynikające z dotychczasowych doświadczeń (m.in. nowe schematy pomocowe).</w:t>
      </w:r>
    </w:p>
    <w:p w14:paraId="186CE83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Zobowiązania w ramach interwencji rolno-środowiskowo-klimatycznych będą podejmowane na 5 lat i będą polegały na realizacji określonych wymogów pro-środowiskowych. Zobowiązania będą mogły być podejmowane przez rolników lub innych beneficjentów (zarządców gruntów), którzy w okresie realizacji zobowiązania będą składać corocznie w określonym w przepisach projektowanej ustawy terminie i na odpowiednim formularzu wnioski o przyznanie płatności rolno-środowiskowo-klimatycznej. Płatności rolno-środowiskowo-klimatyczne będą przyznawane w drodze decyzji administracyjnej za każdy rok realizacji zobowiązania. </w:t>
      </w:r>
    </w:p>
    <w:p w14:paraId="25147E4A"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przepisach projektowanej ustawy zostały określone interwencje Planu Strategicznego, w ramach których za realizację podjętych zobowiązań będą przysługiwały następujące płatności rolno-środowiskowo-klimatyczne:</w:t>
      </w:r>
    </w:p>
    <w:p w14:paraId="1E3D923C" w14:textId="77777777" w:rsidR="00F9038A" w:rsidRPr="00C543E1" w:rsidRDefault="00F9038A" w:rsidP="00530A3D">
      <w:pPr>
        <w:numPr>
          <w:ilvl w:val="0"/>
          <w:numId w:val="24"/>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Ochrona cennych siedlisk i zagrożonych gatunków na obszarach Natura 2000;</w:t>
      </w:r>
    </w:p>
    <w:p w14:paraId="3B1FC7DC" w14:textId="77777777" w:rsidR="00F9038A" w:rsidRPr="00C543E1" w:rsidRDefault="00F9038A" w:rsidP="00530A3D">
      <w:pPr>
        <w:numPr>
          <w:ilvl w:val="0"/>
          <w:numId w:val="24"/>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Ochrona cennych siedlisk i zagrożonych gatunków poza obszarami Natura 2000;</w:t>
      </w:r>
    </w:p>
    <w:p w14:paraId="4D432860" w14:textId="77777777" w:rsidR="00F9038A" w:rsidRPr="00C543E1" w:rsidRDefault="00F9038A" w:rsidP="00530A3D">
      <w:pPr>
        <w:numPr>
          <w:ilvl w:val="0"/>
          <w:numId w:val="24"/>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Ekstensywne użytkowanie łąk i pastwisk na obszarach Natura 2000;</w:t>
      </w:r>
    </w:p>
    <w:p w14:paraId="2470C278" w14:textId="77777777" w:rsidR="00F9038A" w:rsidRPr="00C543E1" w:rsidRDefault="00F9038A" w:rsidP="00530A3D">
      <w:pPr>
        <w:numPr>
          <w:ilvl w:val="0"/>
          <w:numId w:val="24"/>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Zachowanie sadów tradycyjnych odmian drzew owocowych;</w:t>
      </w:r>
    </w:p>
    <w:p w14:paraId="14E13609" w14:textId="77777777" w:rsidR="00F9038A" w:rsidRPr="00C543E1" w:rsidRDefault="00F9038A" w:rsidP="00530A3D">
      <w:pPr>
        <w:numPr>
          <w:ilvl w:val="0"/>
          <w:numId w:val="24"/>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Zachowanie zagrożonych zasobów genetycznych roślin w rolnictwie;</w:t>
      </w:r>
    </w:p>
    <w:p w14:paraId="1EE2B2D7" w14:textId="77777777" w:rsidR="00F9038A" w:rsidRPr="00C543E1" w:rsidRDefault="00F9038A" w:rsidP="00530A3D">
      <w:pPr>
        <w:numPr>
          <w:ilvl w:val="0"/>
          <w:numId w:val="24"/>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Zachowanie zagrożonych zasobów genetycznych zwierząt w rolnictwie;</w:t>
      </w:r>
    </w:p>
    <w:p w14:paraId="79F3A517" w14:textId="77777777" w:rsidR="00F9038A" w:rsidRPr="00C543E1" w:rsidRDefault="00F9038A" w:rsidP="00530A3D">
      <w:pPr>
        <w:numPr>
          <w:ilvl w:val="0"/>
          <w:numId w:val="24"/>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Bioróżnorodność na gruntach ornych.</w:t>
      </w:r>
    </w:p>
    <w:p w14:paraId="13114C0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Zgodnie z projektem ustawy warunkiem przyznania płatności rolno-środowiskowo-klimatycznych będzie posiadanie przez podmiot ubiegający się o przyznanie tych płatności nie </w:t>
      </w:r>
      <w:r w:rsidRPr="00C543E1">
        <w:rPr>
          <w:rFonts w:ascii="Times New Roman" w:hAnsi="Times New Roman"/>
          <w:sz w:val="24"/>
          <w:szCs w:val="24"/>
        </w:rPr>
        <w:lastRenderedPageBreak/>
        <w:t>mniej niż 1 ha UR – w przypadku wszystkich ww. interwencji lub 1 ha obszaru przyrodniczego stanowiącego grunt niebędący użytkiem rolnym, na którym występuje co najmniej jedno siedlisko przyrodnicze lub siedlisko lęgowe ptaków będące przedmiotem wsparcia w ramach interwencji dotyczących ochrony cennych siedlisk i zagrożonych gatunków na obszarach Natura 2000 i poza nimi – w przypadku interwencji wymienionych w pkt 1 i 2.</w:t>
      </w:r>
    </w:p>
    <w:p w14:paraId="199E9F4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projekcie ustawy proponuje się wskazanie, że w przypadku m.in. płatności rolno-środowiskowo-klimatycznych przyznawanych do gruntu, płatności te będą przyznawane do gruntu, który w dniu 31 maja roku, w którym został złożony wniosek o przyznanie tych płatności, jest na podstawie tytułu prawnego w posiadaniu podmiotu ubiegającego się o jej przyznanie.</w:t>
      </w:r>
    </w:p>
    <w:p w14:paraId="7552495A"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Jednocześnie zgodnie z projektem ustawy, jeżeli grunt lub zwierzę stanowi przedmiot posiadania samoistnego i posiadania zależnego, pomoc przysługuje posiadaczowi zależnemu. Natomiast w przypadku gdy grunt lub zwierzę jest przedmiotem współposiadania przez okres, w jakim posiadanie gruntu lub zwierzęcia jest warunkiem przyznania płatności rolno-środowiskowo-klimatycznej, płatność ta przysługuje temu współposiadaczowi, na którego pozostali współposiadacze wyrazili zgodę. Zgoda ta nie jest wymagana, jeżeli miałaby pochodzić od współposiadacza będącego małżonkiem wnioskodawcy.</w:t>
      </w:r>
    </w:p>
    <w:p w14:paraId="70D4EF9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Wprowadzenie proponowanych w projekcie ustawy przepisów dotyczących warunku posiadania i tytułu prawnego do gruntów w ramach interwencji rolno-środowiskowo-klimatycznych zapewni stosowanie jednolitego podejścia w tym zakresie w ramach płatności bezpośrednich i płatności rolno-środowiskowo-klimatycznych.</w:t>
      </w:r>
    </w:p>
    <w:p w14:paraId="33F945D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Ponadto płatności rolno-środowiskowo-klimatyczne w ramach interwencji wymienionych w pkt 1–5 i 7 będą przyznawane do gruntów, na których jest realizowane zobowiązanie rolno-środowiskowo-klimatyczne.</w:t>
      </w:r>
    </w:p>
    <w:p w14:paraId="7CF9CB15"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Szczegółowe warunki, tryb przyznawania, warunki wypłaty lub zwrotu płatności rolno-środowiskowo-klimatycznych zostaną określone w przepisach wydanych na podstawie upoważnienia określonego w projekcie ustawy.</w:t>
      </w:r>
    </w:p>
    <w:p w14:paraId="15F0CD6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Ekologia</w:t>
      </w:r>
    </w:p>
    <w:p w14:paraId="5203D9AE"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przepisach projektowanej ustawy zostały również uregulowane kwestie związane z przyznawaniem płatności ekologicznych.</w:t>
      </w:r>
    </w:p>
    <w:p w14:paraId="78C2C11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Płatności ekologiczne będą kontynuacją dotychczasowego wsparcia powierzchniowego rolnictwa ekologicznego realizowanego m.in. w ramach działania Rolnictwo ekologiczne PROW 2014–2020. Od 2023 r. wsparcie to będzie realizowane w ramach interwencji – Rolnictwo ekologiczne objętej Planem Strategicznym dla WPR na lata 2023–2027. Celem tej interwencji jest wspieranie dobrowolnych zobowiązań rolników, którzy podejmują się utrzymać lub przejść na praktyki i metody rolnictwa ekologicznego określone w prawodawstwie unijnym i krajowym. Wsparciem w ramach interwencji będą objęte powierzchnie w ramach upraw: rolniczych, warzywnych, zielarskich, sadowniczych podstawowych, jagodowych, sadowniczych ekstensywnych, paszowych oraz TUZ, prowadzonych zgodnie z zasadami rolnictwa ekologicznego. Analogicznie jak w przypadku działania Rolnictwo ekologiczne PROW 2014–2020, w ramach interwencji zostanie zachowane podejście w zakresie realizacji zobowiązań wieloletnich (tj. 5-letnich). Niemniej jednak w porównaniu do rozwiązań ujętych w ww. działaniu w ramach interwencji – Rolnictwo ekologiczne zostanie rozszerzony zakres wsparcia o wsparcie ukierunkowane domałych i średnich gospodarstw posiadających do 10 ha UR. Zamiast płatności zróżnicowanych ze względu na grupę upraw i ich status, rolnicy będą mogli otrzymać płatności ekologiczne w jednakowej wysokości do każdego hektara UR (niezależnie od grupy upraw). Ponadto nowym rozwiązaniem, jakie zostanie wdrożone, będzie dodatkowa płatność do powierzchni upraw zadeklarowanych do płatności ekologicznych pod postacią premii za zrównoważoną produkcję roślinno-zwierzęcą. Premia będzie dostępna dla tych rolników, którzy zapewnią w swoim gospodarstwie (tj. na wszystkie UR) obsadę zwierząt na poziomie co najmniej 0,5 DJP/ha i nie więcej niż 1,5 DJP/ha. Szczegółowe przepisy dotyczące ww. nowych rozwiązań zostaną określone w przepisach wydanych na podstawie upoważnienia określonego w projekcie ustawy.</w:t>
      </w:r>
    </w:p>
    <w:p w14:paraId="6275E01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Planuje się, aby płatności te przysługiwały rolnikowi, jeżeli posiada nie mniej niż 1 ha UR i realizuje zobowiązania ekologiczne, tj. „inne zobowiązania w dziedzinie zarządzania”, o których mowa w przepisach UE, na użytkach rolnych, na których prowadzi produkcję ekologiczną. Wysokość płatności ekologicznych, co wynika z proponowanych przepisów, będzie ustalana jako iloczyn powierzchni obszaru zatwierdzonego do tych płatności i stawki tej płatności na 1 ha tej powierzchni, po uwzględnieniu dyscypliny finansowej wynikającej z przepisów UE, kar, w tym kar administracyjnych, oraz zmniejszeń, których konieczność zastosowania wynika z przepisów UE. </w:t>
      </w:r>
    </w:p>
    <w:p w14:paraId="5F22219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Szczegółowe warunki, tryb przyznawania, warunki wypłaty lub zwrotu płatności ekologicznych zostaną określone w przepisach krajowych wydanych na podstawie upoważnienia określonego w projekcie ustawy.</w:t>
      </w:r>
    </w:p>
    <w:p w14:paraId="3B6EFB1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ONW</w:t>
      </w:r>
    </w:p>
    <w:p w14:paraId="2BA3706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przepisach projektowanej ustawy zostały uregulowane warunki przyznawania płatności dla obszarów z ograniczeniami naturalnymi lub innymi szczególnymi ograniczeniami (ONW). Zasady przyznawania tych płatności zostały określone w rozporządzeniu 2021/2115. Płatność ONW jest płatnością ryczałtową, jednoroczną, do hektara UR położonych na obszarach ONW. Ich realizacja polega na wypłacaniu wsparcia rolnikom, którzy gospodarują na obszarach, na których występują naturalne lub inne szczególne ograniczenia w działalności rolniczej (tzw. obszarach ONW) i doświadczają z tego powodu trudności w prowadzeniu upraw.</w:t>
      </w:r>
    </w:p>
    <w:p w14:paraId="381C1176"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Płatności te są kontynuacją wsparcia udzielanego w ramach działania Płatności dla obszarów z ograniczeniami naturalnymi lub innymi szczególnymi ograniczeniami objętego PROW 2014–2020. </w:t>
      </w:r>
    </w:p>
    <w:p w14:paraId="27D6A0E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Interwencja jest instrumentem wsparcia finansowego dla rolników, którzy prowadzą działalność rolniczą na terenach ONW. Pomoc może być przyznana, jeżeli beneficjent jest posiadaczem gospodarstwa rolnego położonego w granicach Rzeczypospolitej Polskiej i prowadzi działalność rolniczą na obszarach ONW. Ponadto powierzchnia UR należących do danego gospodarstwa rolnego położonych w granicach ONW i wykorzystywanych do produkcji rolniczej musi wynosić co najmniej 1 ha. W Polsce występują trzy typy obszarów ONW: płatności dla obszarów górskich (ONW typ górski), płatności dla obszarów innych niż obszary górskie charakteryzujące się znaczącymi ograniczeniami naturalnymi (ONW typ nizinny) i płatności dla innych obszarów charakteryzujących się szczególnymi ograniczeniami (ONW typ specyficzny). Obecne wyznaczenie obszarów ONW obowiązuje w Polsce od 2019 r. i jest następstwem oceny funkcjonowania tego działania w całej UE. Obowiązujące wyznaczenie obszarów ONW w Polsce zostało zrealizowane według obiektywnych, skwantyfikowanych w całej UE kryteriów, zgodnie z przepisami zawartymi w rozporządzeniu (UE) nr 1305/2013. </w:t>
      </w:r>
    </w:p>
    <w:p w14:paraId="6FE6966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Lista obszarów ONW, do których przysługuje wsparcie, jest określona w załączniku do rozporządzenia Ministra Rolnictwa i Rozwoju Wsi z dnia 13 marca 2015 r. w sprawie szczegółowych warunków i trybu przyznawania pomocy finansowej w ramach działania „Płatności dla obszarów z ograniczeniami naturalnymi lub innymi szczególnymi </w:t>
      </w:r>
      <w:r w:rsidRPr="00C543E1">
        <w:rPr>
          <w:rFonts w:ascii="Times New Roman" w:hAnsi="Times New Roman"/>
          <w:sz w:val="24"/>
          <w:szCs w:val="24"/>
        </w:rPr>
        <w:lastRenderedPageBreak/>
        <w:t xml:space="preserve">ograniczeniami” objętego Programem Rozwoju Obszarów Wiejskich na lata 2014–2020 (Dz. U. poz. 364, z późn. zm.), które w tym zakresie zostało znowelizowane. </w:t>
      </w:r>
    </w:p>
    <w:p w14:paraId="7C23DB6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Leśnictwo</w:t>
      </w:r>
    </w:p>
    <w:p w14:paraId="06A417D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przepisach projektowanej ustawy zostały również uregulowane kwestie związane z przyznawaniem wsparcia na interwencje leśne i zadrzewieniowe.</w:t>
      </w:r>
    </w:p>
    <w:p w14:paraId="603379D5"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Będą one w większości kontynuacją dotychczasowego wsparcia realizowanego w ramach działania Inwestycje w rozwój obszarów leśnych i poprawę żywotności lasów PROW 2014</w:t>
      </w:r>
      <w:r w:rsidRPr="00C543E1">
        <w:rPr>
          <w:rFonts w:ascii="Times New Roman" w:eastAsiaTheme="minorEastAsia" w:hAnsi="Times New Roman"/>
          <w:sz w:val="24"/>
          <w:szCs w:val="24"/>
        </w:rPr>
        <w:t>–</w:t>
      </w:r>
      <w:r w:rsidRPr="00C543E1">
        <w:rPr>
          <w:rFonts w:ascii="Times New Roman" w:hAnsi="Times New Roman"/>
          <w:sz w:val="24"/>
          <w:szCs w:val="24"/>
        </w:rPr>
        <w:t xml:space="preserve">2020. </w:t>
      </w:r>
    </w:p>
    <w:p w14:paraId="31D5BB5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Wsparcie inwestycji leśnych lub zadrzewieniowych przyznawane będzie w ramach interwencji:</w:t>
      </w:r>
    </w:p>
    <w:p w14:paraId="6F80E613" w14:textId="77777777" w:rsidR="00F9038A" w:rsidRPr="00C543E1" w:rsidRDefault="00F9038A" w:rsidP="00530A3D">
      <w:pPr>
        <w:numPr>
          <w:ilvl w:val="0"/>
          <w:numId w:val="25"/>
        </w:numPr>
        <w:autoSpaceDE w:val="0"/>
        <w:autoSpaceDN w:val="0"/>
        <w:adjustRightInd w:val="0"/>
        <w:spacing w:after="0" w:line="360" w:lineRule="auto"/>
        <w:ind w:left="510" w:hanging="510"/>
        <w:jc w:val="both"/>
        <w:rPr>
          <w:rFonts w:ascii="Times New Roman" w:eastAsiaTheme="minorEastAsia" w:hAnsi="Times New Roman"/>
          <w:sz w:val="24"/>
          <w:szCs w:val="24"/>
        </w:rPr>
      </w:pPr>
      <w:r w:rsidRPr="00C543E1">
        <w:rPr>
          <w:rFonts w:ascii="Times New Roman" w:eastAsiaTheme="minorEastAsia" w:hAnsi="Times New Roman"/>
          <w:sz w:val="24"/>
          <w:szCs w:val="24"/>
        </w:rPr>
        <w:t>Zalesianie gruntów rolnych (kontynuacja poddziałania „Wsparcie na zalesianie i tworzenie terenów zalesionych” objętego PROW 2014–2020);</w:t>
      </w:r>
    </w:p>
    <w:p w14:paraId="3F074F34" w14:textId="77777777" w:rsidR="00F9038A" w:rsidRPr="00C543E1" w:rsidRDefault="00F9038A" w:rsidP="00530A3D">
      <w:pPr>
        <w:numPr>
          <w:ilvl w:val="0"/>
          <w:numId w:val="25"/>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EastAsia" w:hAnsi="Times New Roman"/>
          <w:sz w:val="24"/>
          <w:szCs w:val="24"/>
        </w:rPr>
        <w:t>Tworzenie zadrzewień śródpolnych (kontynuacja rozszerzonego od 2022 r. poddziałania „Wsparcie na zalesianie i tworzenie terenów zalesionych” objętego PROW 2014–2020);</w:t>
      </w:r>
    </w:p>
    <w:p w14:paraId="167651BD" w14:textId="77777777" w:rsidR="00F9038A" w:rsidRPr="00C543E1" w:rsidRDefault="00F9038A" w:rsidP="00530A3D">
      <w:pPr>
        <w:numPr>
          <w:ilvl w:val="0"/>
          <w:numId w:val="25"/>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EastAsia" w:hAnsi="Times New Roman"/>
          <w:sz w:val="24"/>
          <w:szCs w:val="24"/>
        </w:rPr>
        <w:t>Zakładanie systemów rolno-leśnych (nowa interwencja);</w:t>
      </w:r>
    </w:p>
    <w:p w14:paraId="542A7CF3" w14:textId="77777777" w:rsidR="00F9038A" w:rsidRPr="00C543E1" w:rsidRDefault="00F9038A" w:rsidP="00530A3D">
      <w:pPr>
        <w:numPr>
          <w:ilvl w:val="0"/>
          <w:numId w:val="25"/>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EastAsia" w:hAnsi="Times New Roman"/>
          <w:sz w:val="24"/>
          <w:szCs w:val="24"/>
        </w:rPr>
        <w:t>Zwiększanie bioróżnorodności lasów prywatnych (kontynuacja poddziałania „Wsparcie na inwestycje zwiększające odporność ekosystemów leśnych i ich wartość dla środowiska” PROW 2014–2020).</w:t>
      </w:r>
    </w:p>
    <w:p w14:paraId="7D08667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Wsparcie będzie przyznawane do powierzchni gruntów nie mniejszej niż 0,1 ha, na których zostały zrealizowane inwestycje polegające na zalesieniu, zadrzewieniu, założeniu systemu rolno-leśnego lub zwiększeniu bioróżnorodności lasów. </w:t>
      </w:r>
    </w:p>
    <w:p w14:paraId="464EFA0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Aby zapewnić długotrwały efekt środowiskowy ww. inwestycji dodatkowo przewidziano pomoc w formie wieloletnich premii z tytułu zalesień, zadrzewień lub systemów rolno-leśnych. Premie te pozwolą na utrzymanie i pielęgnację nowo założonych nasadzeń na gruntach rolnych, a także zapewnią rolnikom rekompensaty z tytułu utraconych dochodów ze względu na ograniczenie produkcji rolniczej. Premie te będą przysługiwały zarówno do zalesień, zadrzewień i systemów rolno-leśnych założonych w ramach interwencji, o których mowa w art. 46 ust. 1 pkt 1–3 projektu ustawy, jak również do gruntów zalesionych wskutek sukcesji naturalnej oraz do zadrzewień zrealizowanych w ramach PROW 2014–2020.</w:t>
      </w:r>
    </w:p>
    <w:p w14:paraId="5EDADDD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Szczegółowe warunki przyznawania pomocy zarówno na wsparcie inwestycji leśnych lub zadrzewieniowych, jak i premii z tytułu zalesień, zadrzewień lub systemów rolno-leśnych zostaną ustanowione w rozporządzeniu ministra właściwego do spraw rozwoju wsi. W </w:t>
      </w:r>
      <w:r w:rsidRPr="00C543E1">
        <w:rPr>
          <w:rFonts w:ascii="Times New Roman" w:hAnsi="Times New Roman"/>
          <w:sz w:val="24"/>
          <w:szCs w:val="24"/>
        </w:rPr>
        <w:lastRenderedPageBreak/>
        <w:t>rozporządzeniu tym zostaną określone m.in kryteria wyboru operacji w celu zapewnienia równego traktowania wnioskodawców, lepszego wykorzystania zasobów finansowych i ukierunkowania wsparcia zgodnie z celem środowiskowo-klimatycznym tych interwencji.</w:t>
      </w:r>
    </w:p>
    <w:p w14:paraId="0D7D989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Wysokość pomocy</w:t>
      </w:r>
    </w:p>
    <w:p w14:paraId="26547D2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projektowanych przepisach art. 48 uregulowano sposób ustalania wysokości pomocy. Wysokość dopłat będzie uzależniona od rzeczywistego stanu jednostek produkcyjnych (gruntów lub zwierząt) w gospodarstwie, a w przypadku płatności niezwiązanej do tytoniu – od ilości surowca z okresu referencyjnego. Wpływ na wysokość wparcia będzie miał także rodzaj prowadzonej produkcji.</w:t>
      </w:r>
    </w:p>
    <w:p w14:paraId="12520AE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przypadku płatności w ramach ekoschematu w formie płatności do rolnictwa węglowego i zarządzania składnikami odżywczymi oraz ekoschematu dobrostan zwierząt wysokość płatności w danym roku kalendarzowym proponuje się ustalać jako iloczyn liczby punktów uzyskanych przez danego rolnika oraz stawki tej płatności na 1 punkt.</w:t>
      </w:r>
    </w:p>
    <w:p w14:paraId="7078E933" w14:textId="77777777" w:rsidR="00F9038A" w:rsidRPr="00530A3D" w:rsidRDefault="00F9038A">
      <w:pPr>
        <w:spacing w:before="120" w:after="0" w:line="360" w:lineRule="auto"/>
        <w:jc w:val="both"/>
        <w:rPr>
          <w:rFonts w:ascii="Times New Roman" w:eastAsia="Times" w:hAnsi="Times New Roman"/>
          <w:sz w:val="24"/>
          <w:szCs w:val="24"/>
        </w:rPr>
      </w:pPr>
      <w:r w:rsidRPr="00530A3D">
        <w:rPr>
          <w:rFonts w:ascii="Times New Roman" w:eastAsia="Times" w:hAnsi="Times New Roman"/>
          <w:sz w:val="24"/>
          <w:szCs w:val="24"/>
        </w:rPr>
        <w:t>W przypadku wsparcia inwestycji leśnych lub zadrzewieniowych</w:t>
      </w:r>
      <w:r w:rsidRPr="00530A3D">
        <w:rPr>
          <w:rFonts w:ascii="Times New Roman" w:hAnsi="Times New Roman"/>
          <w:sz w:val="24"/>
          <w:szCs w:val="24"/>
        </w:rPr>
        <w:t xml:space="preserve"> </w:t>
      </w:r>
      <w:r w:rsidRPr="00530A3D">
        <w:rPr>
          <w:rFonts w:ascii="Times New Roman" w:eastAsia="Times" w:hAnsi="Times New Roman"/>
          <w:sz w:val="24"/>
          <w:szCs w:val="24"/>
        </w:rPr>
        <w:t>wysokość tego wsparcia w danym roku kalendarzowym proponuje się ustalać jako iloczyn powierzchni obszaru zatwierdzonego do danej pomocy i stawki tej pomocy na 1 ha tej powierzchni, a w przypadku wykonania ogrodzenia również jako iloczyn długości tego ogrodzenia i stawki pomocy na 1 metr bieżący tego ogrodzenia.</w:t>
      </w:r>
    </w:p>
    <w:p w14:paraId="69974CF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Przy ustaleniu wysokości płatności będą uwzględniane zmniejszenia, kary lub kary administracyjne wynikające ze stwierdzonych nieprawidłowości lub niezgodności.</w:t>
      </w:r>
    </w:p>
    <w:p w14:paraId="6C6FF73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Stawki</w:t>
      </w:r>
    </w:p>
    <w:p w14:paraId="1E6B08BE"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Podobnie jak dotychczas, stawki poszczególnych płatności bezpośrednich oraz przejściowego wsparcia krajowego będą określane corocznie w rozporządzeniu ministra właściwego do spraw rozwoju wsi w porozumieniu z ministrem właściwym do spraw finansów publicznych po ustaleniu kursu wymiany złotego do euro obowiązującego w danym roku.</w:t>
      </w:r>
    </w:p>
    <w:p w14:paraId="0B3B10E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Projektowany art. 50 upoważnia ministra właściwego do spraw rozwoju wsi w porozumieniu z ministrem właściwym do spraw finansów publicznych do podjęcia, w drodze rozporządzenia, decyzji o wypłacie zaliczek z tytułu: interwencji w formie płatności bezpośrednich, interwencji, o których mowa art. 69 lit. a i b rozporządzenia 2021/2115 i przejściowego wsparcia krajowego oraz do określenia procentowej wielkości zaliczek, a także terminu rozpoczęcia wypłaty tych zaliczek, mając na względzie przepisy ustawy budżetowej na dany rok i realizację tej ustawy </w:t>
      </w:r>
      <w:r w:rsidRPr="00C543E1">
        <w:rPr>
          <w:rFonts w:ascii="Times New Roman" w:hAnsi="Times New Roman"/>
          <w:sz w:val="24"/>
          <w:szCs w:val="24"/>
        </w:rPr>
        <w:lastRenderedPageBreak/>
        <w:t>oraz rozporządzenie 2021/2116. W rozporządzeniu będzie możliwe również określenie szczegółowych warunków lub trybu wypłaty zaliczek. Zaliczki nie podlegają zmniejszeniu z tytułu dyscypliny finansowej, tj. zwrotu środków finansowych, o których mowa w art. 17 ust. 4 rozporządzenia 2021/2116. Zaliczki są wypłacane przed wydaniem decyzji, w której kierownik biura powiatowego ARiMR orzeka w sprawie zwrotu tych środków finansowych (art. 73).</w:t>
      </w:r>
    </w:p>
    <w:p w14:paraId="74044A6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Kary</w:t>
      </w:r>
    </w:p>
    <w:p w14:paraId="63A64A9F" w14:textId="77777777" w:rsidR="00F9038A" w:rsidRPr="00C543E1" w:rsidRDefault="00F9038A" w:rsidP="00530A3D">
      <w:pPr>
        <w:autoSpaceDE w:val="0"/>
        <w:autoSpaceDN w:val="0"/>
        <w:adjustRightInd w:val="0"/>
        <w:spacing w:before="120" w:after="0" w:line="360" w:lineRule="auto"/>
        <w:jc w:val="both"/>
        <w:rPr>
          <w:rFonts w:ascii="Times New Roman" w:eastAsiaTheme="minorEastAsia" w:hAnsi="Times New Roman"/>
          <w:sz w:val="24"/>
          <w:szCs w:val="24"/>
        </w:rPr>
      </w:pPr>
      <w:r w:rsidRPr="00C543E1">
        <w:rPr>
          <w:rFonts w:ascii="Times New Roman" w:hAnsi="Times New Roman"/>
          <w:sz w:val="24"/>
          <w:szCs w:val="24"/>
        </w:rPr>
        <w:t>Zgodnie z projektowanymi przepisami, w przypadku nieprzestrzegania przez podmiot ubiegający się o przyznanie pomocy przepisów UE, przepisów projektowanej ustawy oraz przepisów wydanych na jej podstawie na ten podmiot nakłada się kary, w tym kary administracyjne. Wysokość kary jest uzależniona od kryteriów określonych w art. 59 ust. 5 akapit pierwszy rozporządzenia 2021/2116 i nie może przekraczać 200% wysokości wnioskowanej pomocy. Projektując wysokość kary, wzięto pod uwagę, aby kara była z jednej strony skuteczna, a z drugiej strony proporcjonalna. Przy czym za karę uznaje się każde zmniejszenie płatności bez względu na jej wysokość (czy obejmuje 100% wnioskowanej pomocy, czy wykracza ponad kwotę wnioskowanej pomocy i wynosi, np. 200% wnioskowanej pomocy).</w:t>
      </w:r>
    </w:p>
    <w:p w14:paraId="7D899870" w14:textId="77777777" w:rsidR="00F9038A" w:rsidRPr="00530A3D"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Kar, w tym kar administracyjnych, nie nakłada się w szczególności w przypadku, gdy niezgodność jest wynikiem działania siły wyższej lub nadzwyczajnych okoliczności. Ponadto, zgodnie z art. 59 ust. 5 akapit drugi rozporządzenia 2021/2116, kar nie nakłada się gdy niezgodność jest wynikiem błędu właściwego organu lub innego organu, w przypadku gdy błąd nie mógł być w rozsądny sposób odkryty przez osobę, której dotyczy kara administracyjna, lub </w:t>
      </w:r>
    </w:p>
    <w:p w14:paraId="22AA095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dana osoba może dowieść w sposób przekonujący właściwy organ, że nie jest winna niewypełnienia obowiązków, o których mowa w ust. 1 tego artykułu, lub gdy właściwy organ w inny sposób stwierdzi, że dana osoba nie ponosi winy.</w:t>
      </w:r>
    </w:p>
    <w:p w14:paraId="7035CDE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Natomiast kar administracyjnych nie nakłada się, zgodnie z art. 84 ust. 2 lit. c rozporządzenia 2021/2116, w przypadkach gdy niezgodność jest wynikiem nakazu wydanego przez organ publiczny.</w:t>
      </w:r>
    </w:p>
    <w:p w14:paraId="5B28518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projektem ustawy karę nakłada się w decyzji w sprawie o przyznanie danej pomocy i z tytułu nałożenia tej kary pomniejsza się wysokość przyznanej pomocy lub innej pomocy przyznanej w tej decyzji.</w:t>
      </w:r>
    </w:p>
    <w:p w14:paraId="34CCC71E" w14:textId="77777777" w:rsidR="00F9038A" w:rsidRPr="00530A3D" w:rsidRDefault="00F9038A" w:rsidP="00530A3D">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530A3D">
        <w:rPr>
          <w:rFonts w:ascii="Times New Roman" w:eastAsiaTheme="minorEastAsia" w:hAnsi="Times New Roman"/>
          <w:sz w:val="24"/>
          <w:szCs w:val="24"/>
          <w:lang w:eastAsia="pl-PL"/>
        </w:rPr>
        <w:lastRenderedPageBreak/>
        <w:t>Jeżeli kara przekracza wysokość danej pomocy i innej pomocy przyznanej w tej samej decyzji, kara podlega potrąceniu z bezspornej i wymagalnej wierzytelności lub należności dłużnika z tytułu realizowanych przez ARiMR płatności w ramach EFRG lub EFRROW oraz środków publicznych przeznaczonych na współfinansowanie wydatków realizowanych z tych funduszy w roku, w którym została nałożona, oraz przez kolejne 3 lata kalendarzowe. Jeżeli kara nie została pokryta w całości w wyniku potrącenia, to pozostałej części tej kary nie dochodzi się.</w:t>
      </w:r>
    </w:p>
    <w:p w14:paraId="2EFF954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projektem ustawy do kar nie stosuje się przepisów działu IVa Kpa oraz przepisów o postępowaniu egzekucyjnym w administracji.</w:t>
      </w:r>
    </w:p>
    <w:p w14:paraId="1E0E944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Warunkowość</w:t>
      </w:r>
    </w:p>
    <w:p w14:paraId="305BD05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Warunkowość jest połączeniem wymogów zazielenienia i dotychczasowej zasady wzajemnej zgodności. Uzależnia ona otrzymanie pomocy w ramach płatności bezpośrednich i niektórych działań obszarowych II filara w pełnej wysokości od zapewnienia przez podmioty ubiegające się o przyznanie takiej pomocy przestrzegania norm i wymogów, tak jak obecna zasada wzajemnej zgodności. Dlatego też w projektowanej ustawie uregulowano, że nieprzestrzeganie norm i wymogów podstawowych w ramach warunkowości skutkuje nałożeniem kary administracyjnej polegającej na odpowiednim zmniejszeniu kwoty płatności:</w:t>
      </w:r>
    </w:p>
    <w:p w14:paraId="4D559F28" w14:textId="77777777" w:rsidR="00F9038A" w:rsidRPr="00C543E1" w:rsidRDefault="00F9038A" w:rsidP="00530A3D">
      <w:pPr>
        <w:numPr>
          <w:ilvl w:val="0"/>
          <w:numId w:val="26"/>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 xml:space="preserve">bezpośrednich, </w:t>
      </w:r>
    </w:p>
    <w:p w14:paraId="68C7A8C8" w14:textId="77777777" w:rsidR="00F9038A" w:rsidRPr="00C543E1" w:rsidRDefault="00F9038A" w:rsidP="00530A3D">
      <w:pPr>
        <w:numPr>
          <w:ilvl w:val="0"/>
          <w:numId w:val="26"/>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 xml:space="preserve">przyzwanych w ramach interwencji związanych ze środowiskiem, klimatem i innych zobowiązań w dziedzinie zarządzania lub </w:t>
      </w:r>
    </w:p>
    <w:p w14:paraId="4EA2E609" w14:textId="77777777" w:rsidR="00F9038A" w:rsidRPr="00C543E1" w:rsidRDefault="00F9038A" w:rsidP="00530A3D">
      <w:pPr>
        <w:numPr>
          <w:ilvl w:val="0"/>
          <w:numId w:val="26"/>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 xml:space="preserve">dla obszarów z ograniczeniami naturalnymi lub innymi szczególnymi ograniczeniami (ONW), o które wnioskuje rolnik w danym roku. </w:t>
      </w:r>
    </w:p>
    <w:p w14:paraId="5A5FB7E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Kara administracyjna zgodnie z przepisami projektowanej ustawy (art. 53) wdrażającymi przepisy art. 84 ust. 2 lit. b rozporządzenia 2021/2116 nie będzie jednak stosowana, jeżeli będzie ona wynosić nie więcej niż równowartość w złotych kwoty 100 euro. W tym przypadku projektowane przepisy przewidują, że w decyzji w sprawie przyznania pomocy w odniesieniu do ww. rodzajów płatności będzie podawana informacja o niezastosowaniu kary administracyjnej oraz o nakazie realizacji działań naprawczych mających na celu usunięcie stwierdzonych niezgodności oraz zostanie ustalony termin tej realizacji, nie dłuższy niż do dnia 31 grudnia roku następującego po roku, w którym stwierdzono nieprzestrzeganie norm lub wymogów podstawowych. Ponadto projektowane przepisy przewidują, że w przypadku gdy działania naprawcze nie zostaną podjęte w terminie wyznaczonym w decyzji w sprawie o </w:t>
      </w:r>
      <w:r w:rsidRPr="00C543E1">
        <w:rPr>
          <w:rFonts w:ascii="Times New Roman" w:hAnsi="Times New Roman"/>
          <w:sz w:val="24"/>
          <w:szCs w:val="24"/>
        </w:rPr>
        <w:lastRenderedPageBreak/>
        <w:t>przyznanie pomocy, ARiMR ustali kwotę nienależnie lub nadmiernie pobranych środków publicznych.</w:t>
      </w:r>
    </w:p>
    <w:p w14:paraId="251E90C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projektowanej ustawie przewiduje się ponadto, że kary administracyjnej nie stosuje się w przypadku stwierdzenia drobnej niezgodności, czyli w przypadku gdy niezgodność nie wywiera konsekwencji lub wywiera jedynie nieistotne konsekwencje na osiągnięcie celu danej normy lub danego wymogu. W tym przypadku w projektowanej ustawie wskazano, że w decyzji w sprawie o przyznanie pomocy w odniesieniu do płatności bezpośrednich, w ramach interwencji związanych ze środowiskiem, klimatem i innych zobowiązań w dziedzinie zarządzania lub płatności dla obszarów z ograniczeniami naturalnymi lub innymi szczególnymi ograniczeniami (ONW) rolnik otrzyma informację o niezastosowaniu kary administracyjnej oraz możliwych działaniach naprawczych mających na celu usunięcie stwierdzonych niezgodności oraz możliwości skorzystania z usług doradczych w tym zakresie.</w:t>
      </w:r>
    </w:p>
    <w:p w14:paraId="20A3F74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Projektowane przepisy przewidują upoważnienie dla ministra właściwego do spraw rozwoju wsi do określenia, w drodze rozporządzenia, norm oraz szczegółowych warunków ich stosowania z uwzględnieniem kryteriów określonych na poziomie przepisów unijnych, tj. w rozporządzeniu 2021/2115. Ponadto zgodnie z przewidzianym w projektowanej ustawie upoważnieniem minister właściwy do spraw rozwoju wsi określi liczbę punktów, jaką przypisuje się stwierdzonej niezgodności w ramach oceny wagi według kryterium zasięgu, dotkliwości i trwałości w zależności od rodzaju stwierdzonego naruszenia, a także wyrażoną w procentach wielkość kary administracyjnej w zależności od liczby punktów przypisanych stwierdzonym niezgodnościom. W rozporządzeniu tym minister właściwy do spraw rozwoju wsi określi również przypadki drobnej niezgodności lub poważnej niezgodności lub kryteriów uznawania niezgodności za drobną niezgodność lub poważną niezgodność oraz wyrażoną w procentach wielkość kary administracyjnej w zależności od liczby punktów przypisanych stwierdzonym niezgodnościom. Przewidziano także upoważnienie dla ministra właściwego do spraw rolnictwa do ogłoszenia, w drodze obwieszczenia, w Dzienniku Urzędowym Rzeczypospolitej Polskiej „Monitor Polski” wykazu wymogów warunkowości określonych w przepisach Unii Europejskiej, z uwzględnieniem przepisów krajowych wdrażających te przepisy. </w:t>
      </w:r>
    </w:p>
    <w:p w14:paraId="4D535835"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Powyższe rozwiązania są analogicznie do obecnie zastosowanych rozwiązań w ramach zasady wzajemnej zgodności. </w:t>
      </w:r>
    </w:p>
    <w:p w14:paraId="116BC02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Projektowana ustawa określa ponadto obowiązek ponownego przekształcenia trwałych użytków zielonych położonych na obszarach Natura 2000, które zostały zaorane lub przekształcone wbrew zakazowi określonemu w ramach normy GAEC 9. Rolnik będzie obowiązany do ponownego przekształcenia trwałego użytku zielonego nie później niż do dnia 31 maja roku następującego po roku złożenia wniosku o przyznanie pomocy w ramach płatności bezpośrednich, w ramach interwencji związanych ze środowiskiem, klimatem i innych zobowiązań w dziedzinie zarządzania lub płatności dla obszarów z ograniczeniami naturalnymi lub innymi szczególnymi ograniczeniami (ONW), ale nie później niż do dnia złożenia kolejnego wniosku o przyznanie tej pomocy. Rozwiązanie takie funkcjonowało w obecnym okresie programowania w ramach płatności za zazielenienie, ponieważ utrzymanie cennych TUZ było dotychczas jednym z obowiązków w ramach zazielenienia.</w:t>
      </w:r>
    </w:p>
    <w:p w14:paraId="6DB8266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projektowanej ustawie wprowadza się ponadto przepisy regulujące sposób postępowania w przypadku zmniejszenia udziału trwałych użytków zielonych w powierzchni gruntów rolnych w skali całego kraju o więcej niż wielkość określona w ramach normy GAEC 1 w stosunku do określonego wskaźnika referencyjnego. W takim przypadku przekształcenie trwałych użytków zielonych jest niedopuszczalne, a rolnicy, którzy są w posiadaniu gruntów, które powstały w wyniku takiego przekształcania trwałych użytków zielonych, będą obowiązani do przywrócenia określonego odsetka tych przekształconych trwałych użytków zielonych lub ustanowienia innego obszaru odpowiadającego temu odsetkowi jako obszar trwałych użytków zielonych nie później niż do dnia 31 maja roku następującego po roku złożenia wniosku o przyznanie pomocy w ramach płatności bezpośrednich, płatności rolno-środowisko-klimatycznych, rolnictwa ekologicznego i premii z tytułu zalesień, zadrzewień lub systemów rolno-leśnych w ramach Planu Strategicznego oraz płatności dla obszarów z ograniczeniami naturalnymi lub innymi szczególnymi ograniczeniami (ONW), ale nie później niż do dnia złożenia kolejnego wniosku o przyznanie tej pomocy. Przywrócenie musi być zatem dokonane najpóźniej do dnia 31 maja następnego roku, a jeżeli rolnik składa wniosek przed tym dniem, to wcześniej, bo do dnia złożenia tego wniosku. Minister właściwy do spraw rozwoju wsi w takim przypadku określi, w drodze rozporządzenia, szczegółowe warunki dotyczące przywracania trwałych użytków zielonych lub ich ustanowienia na innym gruncie oraz procent przekształconych trwałych użytków zielonych podlegających przywróceniu lub ustanowieniu na obszarach o takiej samej powierzchni. Zgodnie z projektowanymi przepisami niewykonanie obowiązku dotyczącego przywracania trwałych użytków zielonych lub wyznaczania ich na innym obszarze będzie stanowić niezgodność.</w:t>
      </w:r>
    </w:p>
    <w:p w14:paraId="4CA750F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Obowiązek przywrócenia przekształconych trwałych użytków zielonych w przypadku normy GAEC 9 lub normy GAEC 1 lub ustanowienia innego obszaru odpowiadającego odsetkowi przekształconych trwałych użytków zielonych w przypadku normy GAEC 1 będzie stwierdzał w drodze decyzji kierownik biura powiatowego ARiMR, który w tej samej decyzji będzie określał również powierzchnię trwałych użytków zielonych, jaka podlega przywróceniu lub ustanowieniu na obszarze o takiej samej powierzchni. Przedmiotowy obowiązek będzie mógł być stwierdzony również w decyzji w sprawie o przyznanie pomocy w ramach płatności bezpośrednich, w ramach interwencji związanych ze środowiskiem, klimatem i innych obowiązani w dziedzinie zarządzania lub płatności dla obszarów z ograniczeniami naturalnymi lub innymi szczególnymi ograniczeniami (ONW).</w:t>
      </w:r>
    </w:p>
    <w:p w14:paraId="49DA9350"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Minister właściwy do spraw rozwoju wsi ogłasza do dnia 31 sierpnia każdego roku, w drodze obwieszczenia, w Dzienniku Urzędowym Rzeczypospolitej Polskiej „Monitor Polski”, wskaźnik trwałych użytków zielonych oraz wielkość, o jaką zmalał albo zwiększył się ten wskaźnik w stosunku do wskaźnika referencyjnego. </w:t>
      </w:r>
    </w:p>
    <w:p w14:paraId="61522DA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ramach upoważnienia określonego w projektowanej ustawie minister właściwy do spraw rozwoju wsi będzie określał trwałe użytki zielone wrażliwe pod względem środowiskowym objęte normą GAEC 9, mając na względzie zapewnienie ochrony trwałych użytków zielonych wartościowych pod względem środowiskowym na obszarach Natura 2000 oraz torfowiska i obszary podmokłe objęte normą GAEC 2, mając na względzie ochronę gleb bogatych w węgiel.</w:t>
      </w:r>
    </w:p>
    <w:p w14:paraId="28ADD4A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Jednocześnie projektowana ustawa przewiduje upoważnienie ministra właściwego do spraw rozwoju wsi do ogłoszenia, w drodze obwieszczenia, w Dzienniku Urzędowym Rzeczypospolitej Polskiej „Monitor Polski” wskaźnika referencyjnego, o którym mowa w art. 48 rozporządzenia 2022/126.</w:t>
      </w:r>
    </w:p>
    <w:p w14:paraId="2FC3EFF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Przepisy trybowe</w:t>
      </w:r>
    </w:p>
    <w:p w14:paraId="0AD9ED1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Projektowane przepisy określają zasady prowadzenia postępowań w sprawach indywidualnych dotyczących przyznania pomocy, o których mowa w art. 20 pkt 1–5, przez organ administracji publicznej oraz obowiązki stron i innych osób uczestniczących w postępowaniu.</w:t>
      </w:r>
    </w:p>
    <w:p w14:paraId="656A3A3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Przede wszystkim zaproponowano, aby projektowana ustawa wskazywała informacje, jakie powinien zawierać wniosek o przyznanie pomocy. </w:t>
      </w:r>
    </w:p>
    <w:p w14:paraId="3748312A" w14:textId="7634DFED"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odniesieniu do wniosku o przyznanie pomocy, o której mowa w art. 20 pkt 1–4 (płatności bezpośrednie, przejściowe wsparcie krajowe, płatności w ramach interwencji związanych ze </w:t>
      </w:r>
      <w:r w:rsidRPr="00C543E1">
        <w:rPr>
          <w:rFonts w:ascii="Times New Roman" w:hAnsi="Times New Roman"/>
          <w:sz w:val="24"/>
          <w:szCs w:val="24"/>
        </w:rPr>
        <w:lastRenderedPageBreak/>
        <w:t>środowiskiem, klimatem i innych zobowiązań w dziedzinie zarządzania oraz ONW), podmiot ubiegający się o przyznanie pomocy wskazuje wszystkie grunty stanowiące użytki rolne będące w jego posiadaniu oraz ich powierzchnię i położenie. Zgodnie bowiem z rozporządzeniem 2022/1173 wnioski o przyznanie pomocy powinny zawierać informacje niezbędne do właściwego i wiarygodnego zarządzania interwencjami, których dotyczą. W</w:t>
      </w:r>
      <w:r w:rsidR="00094E11">
        <w:rPr>
          <w:rFonts w:ascii="Times New Roman" w:hAnsi="Times New Roman"/>
          <w:sz w:val="24"/>
          <w:szCs w:val="24"/>
        </w:rPr>
        <w:t xml:space="preserve"> </w:t>
      </w:r>
      <w:r w:rsidRPr="00C543E1">
        <w:rPr>
          <w:rFonts w:ascii="Times New Roman" w:hAnsi="Times New Roman"/>
          <w:sz w:val="24"/>
          <w:szCs w:val="24"/>
        </w:rPr>
        <w:t>związku z powyższym zaproponowano także katalog kar dotyczący niewykonania ww. obowiązku.</w:t>
      </w:r>
    </w:p>
    <w:p w14:paraId="6792E249" w14:textId="3A6C5B5D" w:rsidR="00F9038A" w:rsidRPr="00C543E1" w:rsidRDefault="00F9038A" w:rsidP="00530A3D">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Ponadto zaproponowano, aby wniosek o przyznanie pomocy, o której mowa w art. 20 pkt 1–4, (płatności bezpośrednie, przejściowe wsparcie krajowe, płatności w ramach interwencji związanych ze środowiskiem, klimatem i innych zobowiązań w dziedzinie zarządzania oraz ONW) był składany w terminie od dnia 15 marca do dnia 15 maja (termin ten nie podlega przywróceniu). Jednocześnie proponuje się, aby wniosek można było złożyć po upływie tego terminu, lecz nie później niż w dniu, w którym upływa 25 dni od dnia upływu tego terminu, z</w:t>
      </w:r>
      <w:r w:rsidR="00094E11">
        <w:rPr>
          <w:rFonts w:ascii="Times New Roman" w:hAnsi="Times New Roman"/>
          <w:sz w:val="24"/>
          <w:szCs w:val="24"/>
        </w:rPr>
        <w:t xml:space="preserve"> </w:t>
      </w:r>
      <w:r w:rsidRPr="00C543E1">
        <w:rPr>
          <w:rFonts w:ascii="Times New Roman" w:hAnsi="Times New Roman"/>
          <w:sz w:val="24"/>
          <w:szCs w:val="24"/>
        </w:rPr>
        <w:t>tym że w takim przypadku na podmiot ubiegający się o przyznanie pomocy nakłada się karę w wysokości 1% danej pomocy za każdy dzień opóźnienia, nie licząc dni ustawowo wolnych od pracy oraz sobót. Powyższe terminy są tożsame z obecnie obowiązującymi. Proponuje się ich utrzymanie, ponieważ rolnicy znają je i są do nich przyzwyczajeni.</w:t>
      </w:r>
    </w:p>
    <w:p w14:paraId="08FFF60C" w14:textId="77777777" w:rsidR="00F9038A" w:rsidRPr="00C543E1" w:rsidRDefault="00F9038A">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C543E1">
        <w:rPr>
          <w:rFonts w:ascii="Times New Roman" w:eastAsiaTheme="minorEastAsia" w:hAnsi="Times New Roman"/>
          <w:sz w:val="24"/>
          <w:szCs w:val="24"/>
          <w:lang w:eastAsia="pl-PL"/>
        </w:rPr>
        <w:t xml:space="preserve">Ponadto, dostosowując przepisy krajowe do rozporządzenia 2022/1173, w projekcie zaproponowano szczególne rozwiązanie dla </w:t>
      </w:r>
      <w:r w:rsidRPr="00530A3D">
        <w:rPr>
          <w:rFonts w:ascii="Times New Roman" w:eastAsiaTheme="minorEastAsia" w:hAnsi="Times New Roman"/>
          <w:sz w:val="24"/>
          <w:szCs w:val="24"/>
          <w:lang w:eastAsia="pl-PL"/>
        </w:rPr>
        <w:t>podmiotów ubiegających się o przyznanie pomocy</w:t>
      </w:r>
      <w:r w:rsidRPr="00C543E1">
        <w:rPr>
          <w:rFonts w:ascii="Times New Roman" w:eastAsiaTheme="minorEastAsia" w:hAnsi="Times New Roman"/>
          <w:sz w:val="24"/>
          <w:szCs w:val="24"/>
          <w:lang w:eastAsia="pl-PL"/>
        </w:rPr>
        <w:t xml:space="preserve"> umożliwiające dokonanie zmian wniosku o przyznanie pomocy, o której mowa w art. 20 pkt 1–4, do dnia 31 maja roku, w którym został złożony wniosek. Z</w:t>
      </w:r>
      <w:r w:rsidRPr="00530A3D">
        <w:rPr>
          <w:rFonts w:ascii="Times New Roman" w:eastAsiaTheme="minorEastAsia" w:hAnsi="Times New Roman"/>
          <w:bCs/>
          <w:sz w:val="24"/>
          <w:szCs w:val="24"/>
          <w:lang w:eastAsia="pl-PL"/>
        </w:rPr>
        <w:t xml:space="preserve">miany można dokonać po upływie tego terminu, ale nie później niż w ostatnim dniu składania wniosku (tj. do dnia 15 maja + 25 dni), z tym że w takim przypadku na podmiot ubiegający się o przyznanie pomocy, za każdy dzień opóźnienia, nie licząc dni ustawowo wolnych od pracy oraz sobót, nakłada się karę w wysokości 1% pomocy przysługującej w związku z tą zmianą (analogicznie jak ma to miejsce w przypadku składnia </w:t>
      </w:r>
      <w:r w:rsidRPr="00C543E1">
        <w:rPr>
          <w:rFonts w:ascii="Times New Roman" w:hAnsi="Times New Roman"/>
          <w:sz w:val="24"/>
          <w:szCs w:val="24"/>
        </w:rPr>
        <w:t>wniosku o przyznanie pomocy).</w:t>
      </w:r>
    </w:p>
    <w:p w14:paraId="5E8ED092" w14:textId="77777777" w:rsidR="00F9038A" w:rsidRPr="00530A3D" w:rsidRDefault="00F9038A">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C543E1">
        <w:rPr>
          <w:rFonts w:ascii="Times New Roman" w:eastAsiaTheme="minorEastAsia" w:hAnsi="Times New Roman"/>
          <w:sz w:val="24"/>
          <w:szCs w:val="24"/>
          <w:lang w:eastAsia="pl-PL"/>
        </w:rPr>
        <w:t xml:space="preserve">W przypadku gdy </w:t>
      </w:r>
      <w:r w:rsidRPr="00530A3D">
        <w:rPr>
          <w:rFonts w:ascii="Times New Roman" w:eastAsiaTheme="minorEastAsia" w:hAnsi="Times New Roman"/>
          <w:sz w:val="24"/>
          <w:szCs w:val="24"/>
          <w:lang w:eastAsia="pl-PL"/>
        </w:rPr>
        <w:t>ARiMR poinformowała podmiot ubiegający się o przyznanie pomocy o nieprawidłowościach wykrytych w ramach kontroli administracyjnych lub systemu monitorowania obszarów zgodnie z art. 7 ust</w:t>
      </w:r>
      <w:r w:rsidR="00C543E1">
        <w:rPr>
          <w:rFonts w:ascii="Times New Roman" w:eastAsiaTheme="minorEastAsia" w:hAnsi="Times New Roman"/>
          <w:sz w:val="24"/>
          <w:szCs w:val="24"/>
          <w:lang w:eastAsia="pl-PL"/>
        </w:rPr>
        <w:t>.</w:t>
      </w:r>
      <w:r w:rsidRPr="00530A3D">
        <w:rPr>
          <w:rFonts w:ascii="Times New Roman" w:eastAsiaTheme="minorEastAsia" w:hAnsi="Times New Roman"/>
          <w:sz w:val="24"/>
          <w:szCs w:val="24"/>
          <w:lang w:eastAsia="pl-PL"/>
        </w:rPr>
        <w:t xml:space="preserve"> 2 rozporządzenia 2022/1173, podmiot może zmienić wniosek do dnia 15 września roku, w którym został złożony. Zatem możliwość zmiany wniosku jest uzależniona od poinformowania wnioskodawcy przez ARiMR. Wycofania wniosku o przyznanie pomocy, o której mowa w art. 20 pkt 1–4, (całkowitego lub częściowego) można dokonać w każdym czasie, lecz nie później niż do dnia wydania decyzji w sprawie o przyznanie pomocy. Jednak wycofanie nie jest możliwe, jeżeli:</w:t>
      </w:r>
    </w:p>
    <w:p w14:paraId="27E4634E" w14:textId="77777777" w:rsidR="00F9038A" w:rsidRPr="00530A3D" w:rsidRDefault="00F9038A">
      <w:pPr>
        <w:spacing w:after="0" w:line="360" w:lineRule="auto"/>
        <w:ind w:left="510" w:hanging="510"/>
        <w:jc w:val="both"/>
        <w:rPr>
          <w:rFonts w:ascii="Times New Roman" w:eastAsiaTheme="minorEastAsia" w:hAnsi="Times New Roman"/>
          <w:bCs/>
          <w:sz w:val="24"/>
          <w:szCs w:val="24"/>
          <w:lang w:eastAsia="pl-PL"/>
        </w:rPr>
      </w:pPr>
      <w:r w:rsidRPr="00530A3D">
        <w:rPr>
          <w:rFonts w:ascii="Times New Roman" w:eastAsiaTheme="minorEastAsia" w:hAnsi="Times New Roman"/>
          <w:bCs/>
          <w:sz w:val="24"/>
          <w:szCs w:val="24"/>
          <w:lang w:eastAsia="pl-PL"/>
        </w:rPr>
        <w:lastRenderedPageBreak/>
        <w:t>1)</w:t>
      </w:r>
      <w:r w:rsidRPr="00530A3D">
        <w:rPr>
          <w:rFonts w:ascii="Times New Roman" w:eastAsiaTheme="minorEastAsia" w:hAnsi="Times New Roman"/>
          <w:bCs/>
          <w:sz w:val="24"/>
          <w:szCs w:val="24"/>
          <w:lang w:eastAsia="pl-PL"/>
        </w:rPr>
        <w:tab/>
        <w:t>dotyczy części wniosku, w której wykryto nieprawidłowości;</w:t>
      </w:r>
    </w:p>
    <w:p w14:paraId="7FC2813F" w14:textId="77777777" w:rsidR="00F9038A" w:rsidRPr="00530A3D" w:rsidRDefault="00F9038A">
      <w:pPr>
        <w:spacing w:after="0" w:line="360" w:lineRule="auto"/>
        <w:ind w:left="510" w:hanging="510"/>
        <w:jc w:val="both"/>
        <w:rPr>
          <w:rFonts w:ascii="Times New Roman" w:eastAsiaTheme="minorEastAsia" w:hAnsi="Times New Roman"/>
          <w:bCs/>
          <w:sz w:val="24"/>
          <w:szCs w:val="24"/>
          <w:lang w:eastAsia="pl-PL"/>
        </w:rPr>
      </w:pPr>
      <w:r w:rsidRPr="00530A3D">
        <w:rPr>
          <w:rFonts w:ascii="Times New Roman" w:eastAsiaTheme="minorEastAsia" w:hAnsi="Times New Roman"/>
          <w:bCs/>
          <w:sz w:val="24"/>
          <w:szCs w:val="24"/>
          <w:lang w:eastAsia="pl-PL"/>
        </w:rPr>
        <w:t>2)</w:t>
      </w:r>
      <w:r w:rsidRPr="00530A3D">
        <w:rPr>
          <w:rFonts w:ascii="Times New Roman" w:eastAsiaTheme="minorEastAsia" w:hAnsi="Times New Roman"/>
          <w:bCs/>
          <w:sz w:val="24"/>
          <w:szCs w:val="24"/>
          <w:lang w:eastAsia="pl-PL"/>
        </w:rPr>
        <w:tab/>
        <w:t>wnioskodawca został poinformowany o zamiarze przeprowadzenia kontroli na miejscu.</w:t>
      </w:r>
    </w:p>
    <w:p w14:paraId="63E54CE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Nieprawidłowości mogą zostać wykryte przez ARiMR w ramach kontroli administracyjnych jak i za pomocą systemu monitorowania obszarów. Należy podkreślić, że monitorowanie obszarów opiera się bowiem na systemie prewencji i wczesnego ostrzegania rolników, którzy będą powiadamiani o nieprawidłowościach i będą mieli czas na ich usunięcie. Możliwe będzie to dzięki monitorowaniu przez agencję płatniczą, przy użyciu satelit, działalności rolniczej/oceny kwalifikowalności na zadeklarowanych obszarach w sposób stały/systematyczny. Dzięki takiemu rozwiązaniu rolnicy będą mogli uniknąć ewentualnych kar i sankcji. Jest to nowe podejście, które jest wyjściem naprzeciw beneficjentom, w odniesieniu do których tradycyjna funkcja kontrolna zostanie zastąpiona funkcją informacyjno-doradczą. </w:t>
      </w:r>
    </w:p>
    <w:p w14:paraId="6EC39C2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projekcie ustawy przewidziano także upoważnienie ustawowe dla ministra właściwego do spraw rozwoju wsi, który może określić, w drodze rozporządzenia, w danym roku dłuższy termin składania wniosków o przyznanie pomocy, o której mowa w art. 20 pkt 1–4, zgłaszania zmian do tych wniosków lub ich wycofania, mając na względzie umożliwienie otrzymania przez rolników należnych im płatności. Wydłużenie terminu składania ww. wniosków i zmian do tych wniosków może być pomocne rolnikom podczas wystąpienia np. niekorzystnych zjawisk pogodowych (susze, powodzie, klęski żywiołowe). W takich przypadkach rolnicy będą mieli więcej czasu na zaplanowanie zasiewów. Proponowane regulacje również są tożsame z dotychczas obowiązującymi w ustawie z dnia 5 lutego 2015 r. o płatnościach w ramach systemów wsparcia bezpośredniego.</w:t>
      </w:r>
    </w:p>
    <w:p w14:paraId="614B198D" w14:textId="342228BC"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Należy podkreślić, że przepisy UE już w 2018 r. zobowiązały państwa członkowskie do ustanowienia elektronicznego systemu składania wniosków o przyznanie płatności obszarowych objętych Zintegrowanym Systemem Zarzadzania i Kontroli. Wymagane jest zatem złożenie tych wniosków przy wykorzystaniu formularza wniosku geoprzestrzennego dostarczonego przez właściwy organ. Biorąc pod uwagę powyższe, w projekcie ustawy </w:t>
      </w:r>
      <w:r w:rsidRPr="00C543E1">
        <w:rPr>
          <w:rFonts w:ascii="Times New Roman" w:eastAsia="Times New Roman" w:hAnsi="Times New Roman"/>
          <w:bCs/>
          <w:sz w:val="24"/>
          <w:szCs w:val="24"/>
          <w:lang w:eastAsia="pl-PL"/>
        </w:rPr>
        <w:t xml:space="preserve">został zdefiniowany zakres wniosku geoprzestrzennego, który </w:t>
      </w:r>
      <w:r w:rsidRPr="00C543E1">
        <w:rPr>
          <w:rFonts w:ascii="Times New Roman" w:hAnsi="Times New Roman"/>
          <w:sz w:val="24"/>
          <w:szCs w:val="24"/>
        </w:rPr>
        <w:t xml:space="preserve">będzie składany, tak jak dotychczas, za pośrednictwem aplikacji eWniosekPlus dostępnej </w:t>
      </w:r>
      <w:r w:rsidRPr="00C543E1">
        <w:rPr>
          <w:rFonts w:ascii="Times New Roman" w:eastAsia="Times New Roman" w:hAnsi="Times New Roman"/>
          <w:sz w:val="24"/>
          <w:szCs w:val="24"/>
          <w:lang w:eastAsia="pl-PL"/>
        </w:rPr>
        <w:t>za pomocą systemu teleinformatycznego ARiMR</w:t>
      </w:r>
      <w:r w:rsidRPr="00C543E1">
        <w:rPr>
          <w:rFonts w:ascii="Times New Roman" w:hAnsi="Times New Roman"/>
          <w:sz w:val="24"/>
          <w:szCs w:val="24"/>
        </w:rPr>
        <w:t>. Zgodnie z przepisami rozporządzenia 2022/1173, wniosek geoprzestrzenny stosuje się do wszystkich interwencji obszarowych w ramach Zintegrowanego Systemu Zarządzania i Kontroli oraz do istotnych informacji związanych z warunkowością. Zatem zostaną nim objęte podmioty wnioskujące o przyznanie płatności w ramach interwencji w</w:t>
      </w:r>
      <w:r w:rsidR="00094E11">
        <w:rPr>
          <w:rFonts w:ascii="Times New Roman" w:hAnsi="Times New Roman"/>
          <w:sz w:val="24"/>
          <w:szCs w:val="24"/>
        </w:rPr>
        <w:t xml:space="preserve"> </w:t>
      </w:r>
      <w:r w:rsidRPr="00C543E1">
        <w:rPr>
          <w:rFonts w:ascii="Times New Roman" w:hAnsi="Times New Roman"/>
          <w:sz w:val="24"/>
          <w:szCs w:val="24"/>
        </w:rPr>
        <w:t xml:space="preserve">formie płatności </w:t>
      </w:r>
      <w:r w:rsidRPr="00C543E1">
        <w:rPr>
          <w:rFonts w:ascii="Times New Roman" w:hAnsi="Times New Roman"/>
          <w:sz w:val="24"/>
          <w:szCs w:val="24"/>
        </w:rPr>
        <w:lastRenderedPageBreak/>
        <w:t xml:space="preserve">bezpośrednich oraz niektórych interwencji w ramach II filaru WPR (w tym zobowiązania kontynuacyjne), tj.: płatności zalesieniowe, rolno-środowiskowo-klimatyczne, działanie Rolnictwo ekologiczne oraz płatności ONW. </w:t>
      </w:r>
    </w:p>
    <w:p w14:paraId="192020D9"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projektowanym art. 65 organem właściwym w sprawach dotyczących przyznawania pomocy w drodze decyzji jest kierownik biura powiatowego ARiMR w</w:t>
      </w:r>
      <w:r w:rsidRPr="00C543E1">
        <w:rPr>
          <w:rFonts w:ascii="Times New Roman" w:eastAsiaTheme="minorEastAsia" w:hAnsi="Times New Roman"/>
          <w:sz w:val="24"/>
          <w:szCs w:val="24"/>
          <w:lang w:eastAsia="pl-PL"/>
        </w:rPr>
        <w:t xml:space="preserve">łaściwy ze względu na miejsce zamieszkania lub siedzibę podmiotu wnioskującego o przyznanie </w:t>
      </w:r>
      <w:r w:rsidRPr="00C543E1">
        <w:rPr>
          <w:rFonts w:ascii="Times New Roman" w:hAnsi="Times New Roman"/>
          <w:sz w:val="24"/>
          <w:szCs w:val="24"/>
        </w:rPr>
        <w:t>pomocy, o której mowa w art. 20 pkt 1–6</w:t>
      </w:r>
      <w:r w:rsidRPr="00C543E1">
        <w:rPr>
          <w:rFonts w:ascii="Times New Roman" w:eastAsiaTheme="minorEastAsia" w:hAnsi="Times New Roman"/>
          <w:sz w:val="24"/>
          <w:szCs w:val="24"/>
          <w:lang w:eastAsia="pl-PL"/>
        </w:rPr>
        <w:t xml:space="preserve">. Zasada taka obowiązywała również w poprzednim okresie programowania na podstawie przepisów ustawy </w:t>
      </w:r>
      <w:r w:rsidRPr="00C543E1">
        <w:rPr>
          <w:rFonts w:ascii="Times New Roman" w:eastAsiaTheme="minorEastAsia" w:hAnsi="Times New Roman"/>
          <w:sz w:val="24"/>
          <w:szCs w:val="24"/>
        </w:rPr>
        <w:t xml:space="preserve">z dnia 5 lutego 2015 r. o płatnościach w ramach systemów wsparcia bezpośredniego oraz przepisów </w:t>
      </w:r>
      <w:r w:rsidRPr="00C543E1">
        <w:rPr>
          <w:rFonts w:ascii="Times New Roman" w:hAnsi="Times New Roman"/>
          <w:sz w:val="24"/>
          <w:szCs w:val="24"/>
        </w:rPr>
        <w:t>ustawy o PROW 2014–2020.</w:t>
      </w:r>
    </w:p>
    <w:p w14:paraId="0098EA85" w14:textId="77777777" w:rsidR="00F9038A" w:rsidRPr="00C543E1" w:rsidRDefault="00F9038A" w:rsidP="00530A3D">
      <w:pPr>
        <w:suppressAutoHyphens/>
        <w:autoSpaceDE w:val="0"/>
        <w:autoSpaceDN w:val="0"/>
        <w:adjustRightInd w:val="0"/>
        <w:spacing w:before="120" w:after="0" w:line="360" w:lineRule="auto"/>
        <w:jc w:val="both"/>
        <w:rPr>
          <w:rFonts w:ascii="Times New Roman" w:hAnsi="Times New Roman"/>
          <w:bCs/>
          <w:sz w:val="24"/>
          <w:szCs w:val="24"/>
        </w:rPr>
      </w:pPr>
      <w:r w:rsidRPr="00C543E1">
        <w:rPr>
          <w:rFonts w:ascii="Times New Roman" w:eastAsiaTheme="minorEastAsia" w:hAnsi="Times New Roman"/>
          <w:bCs/>
          <w:sz w:val="24"/>
          <w:szCs w:val="24"/>
          <w:lang w:eastAsia="pl-PL"/>
        </w:rPr>
        <w:t>W celu usprawnienia procesu rozpatrywania wniosków o przyznanie pomocy</w:t>
      </w:r>
      <w:r w:rsidRPr="00C543E1">
        <w:rPr>
          <w:rFonts w:ascii="Times New Roman" w:hAnsi="Times New Roman"/>
          <w:sz w:val="24"/>
          <w:szCs w:val="24"/>
        </w:rPr>
        <w:t xml:space="preserve"> przyznawanej w drodze decyzji p</w:t>
      </w:r>
      <w:r w:rsidRPr="00C543E1">
        <w:rPr>
          <w:rFonts w:ascii="Times New Roman" w:eastAsiaTheme="minorEastAsia" w:hAnsi="Times New Roman"/>
          <w:bCs/>
          <w:sz w:val="24"/>
          <w:szCs w:val="24"/>
          <w:lang w:eastAsia="pl-PL"/>
        </w:rPr>
        <w:t>roponuje się, aby dyrektor oddziału regionalnego ARiMR albo upoważniony przez niego pracownik miał możliwość wyznaczenia z urzędu do załatwienia sprawy innego kierownika biura powiatowego ARiMR, w stosunku do którego jest organem wyższego stopnia, jeżeli:</w:t>
      </w:r>
    </w:p>
    <w:p w14:paraId="0569A0F3" w14:textId="77777777" w:rsidR="00F9038A" w:rsidRPr="00C543E1" w:rsidRDefault="00F9038A">
      <w:pPr>
        <w:spacing w:after="0" w:line="360" w:lineRule="auto"/>
        <w:ind w:left="510" w:hanging="510"/>
        <w:jc w:val="both"/>
        <w:rPr>
          <w:rFonts w:ascii="Times New Roman" w:hAnsi="Times New Roman"/>
          <w:bCs/>
          <w:sz w:val="24"/>
          <w:szCs w:val="24"/>
        </w:rPr>
      </w:pPr>
      <w:r w:rsidRPr="00C543E1">
        <w:rPr>
          <w:rFonts w:ascii="Times New Roman" w:eastAsiaTheme="minorEastAsia" w:hAnsi="Times New Roman"/>
          <w:bCs/>
          <w:sz w:val="24"/>
          <w:szCs w:val="24"/>
          <w:lang w:eastAsia="pl-PL"/>
        </w:rPr>
        <w:t>1)</w:t>
      </w:r>
      <w:r w:rsidRPr="00C543E1">
        <w:rPr>
          <w:rFonts w:ascii="Times New Roman" w:eastAsiaTheme="minorEastAsia" w:hAnsi="Times New Roman"/>
          <w:bCs/>
          <w:sz w:val="24"/>
          <w:szCs w:val="24"/>
          <w:lang w:eastAsia="pl-PL"/>
        </w:rPr>
        <w:tab/>
        <w:t>zostanie uprawdopodobnione istnienie okoliczności mogących wywołać wątpliwości co do bezstronności właściwego w sprawie kierownika biura powiatowego ARiMR lub</w:t>
      </w:r>
    </w:p>
    <w:p w14:paraId="40503955" w14:textId="77777777" w:rsidR="00F9038A" w:rsidRPr="00C543E1" w:rsidRDefault="00F9038A">
      <w:pPr>
        <w:spacing w:after="0" w:line="360" w:lineRule="auto"/>
        <w:ind w:left="510" w:hanging="510"/>
        <w:jc w:val="both"/>
        <w:rPr>
          <w:rFonts w:ascii="Times New Roman" w:hAnsi="Times New Roman"/>
          <w:bCs/>
          <w:sz w:val="24"/>
          <w:szCs w:val="24"/>
        </w:rPr>
      </w:pPr>
      <w:r w:rsidRPr="00C543E1">
        <w:rPr>
          <w:rFonts w:ascii="Times New Roman" w:eastAsiaTheme="minorEastAsia" w:hAnsi="Times New Roman"/>
          <w:bCs/>
          <w:sz w:val="24"/>
          <w:szCs w:val="24"/>
          <w:lang w:eastAsia="pl-PL"/>
        </w:rPr>
        <w:t>2)</w:t>
      </w:r>
      <w:r w:rsidRPr="00C543E1">
        <w:rPr>
          <w:rFonts w:ascii="Times New Roman" w:eastAsiaTheme="minorEastAsia" w:hAnsi="Times New Roman"/>
          <w:bCs/>
          <w:sz w:val="24"/>
          <w:szCs w:val="24"/>
          <w:lang w:eastAsia="pl-PL"/>
        </w:rPr>
        <w:tab/>
        <w:t>może przyczynić się to do przyspieszenia lub uproszczenia postępowania.</w:t>
      </w:r>
    </w:p>
    <w:p w14:paraId="60B459E9"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heme="minorEastAsia" w:hAnsi="Times New Roman"/>
          <w:bCs/>
          <w:sz w:val="24"/>
          <w:szCs w:val="24"/>
          <w:lang w:eastAsia="pl-PL"/>
        </w:rPr>
      </w:pPr>
      <w:r w:rsidRPr="00C543E1">
        <w:rPr>
          <w:rFonts w:ascii="Times New Roman" w:eastAsiaTheme="minorEastAsia" w:hAnsi="Times New Roman"/>
          <w:bCs/>
          <w:sz w:val="24"/>
          <w:szCs w:val="24"/>
          <w:lang w:eastAsia="pl-PL"/>
        </w:rPr>
        <w:t>W przypadku wyznaczenia z urzędu, o którym mowa powyżej, zawiadamia się o tym wyznaczeniu stronę. W konsekwencji wyznaczenia dochodzi bowiem do zmiany organu właściwego do załatwienia sprawy, tj. zostaje nim inny kierownik biura powiatowego ARiMR wyznacz</w:t>
      </w:r>
      <w:r w:rsidRPr="00C543E1">
        <w:rPr>
          <w:rFonts w:ascii="Times New Roman" w:eastAsiaTheme="minorEastAsia" w:hAnsi="Times New Roman"/>
          <w:sz w:val="24"/>
          <w:szCs w:val="24"/>
          <w:lang w:eastAsia="pl-PL"/>
        </w:rPr>
        <w:t>ony przez</w:t>
      </w:r>
      <w:r w:rsidRPr="00C543E1">
        <w:rPr>
          <w:rFonts w:ascii="Times New Roman" w:eastAsiaTheme="minorEastAsia" w:hAnsi="Times New Roman"/>
          <w:bCs/>
          <w:sz w:val="24"/>
          <w:szCs w:val="24"/>
          <w:lang w:eastAsia="pl-PL"/>
        </w:rPr>
        <w:t xml:space="preserve"> </w:t>
      </w:r>
      <w:r w:rsidRPr="00C543E1">
        <w:rPr>
          <w:rFonts w:ascii="Times New Roman" w:eastAsiaTheme="minorEastAsia" w:hAnsi="Times New Roman"/>
          <w:sz w:val="24"/>
          <w:szCs w:val="24"/>
          <w:lang w:eastAsia="pl-PL"/>
        </w:rPr>
        <w:t>d</w:t>
      </w:r>
      <w:r w:rsidRPr="00C543E1">
        <w:rPr>
          <w:rFonts w:ascii="Times New Roman" w:eastAsiaTheme="minorEastAsia" w:hAnsi="Times New Roman"/>
          <w:bCs/>
          <w:sz w:val="24"/>
          <w:szCs w:val="24"/>
          <w:lang w:eastAsia="pl-PL"/>
        </w:rPr>
        <w:t xml:space="preserve">yrektora oddziału regionalnego ARiMR </w:t>
      </w:r>
      <w:r w:rsidRPr="00C543E1">
        <w:rPr>
          <w:rFonts w:ascii="Times New Roman" w:eastAsiaTheme="minorEastAsia" w:hAnsi="Times New Roman"/>
          <w:sz w:val="24"/>
          <w:szCs w:val="24"/>
          <w:lang w:eastAsia="pl-PL"/>
        </w:rPr>
        <w:t>albo upoważnionego przez niego pracownika.</w:t>
      </w:r>
    </w:p>
    <w:p w14:paraId="01EA2D0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heme="minorEastAsia" w:hAnsi="Times New Roman"/>
          <w:bCs/>
          <w:sz w:val="24"/>
          <w:szCs w:val="24"/>
          <w:lang w:eastAsia="pl-PL"/>
        </w:rPr>
      </w:pPr>
      <w:r w:rsidRPr="00C543E1">
        <w:rPr>
          <w:rFonts w:ascii="Times New Roman" w:eastAsiaTheme="minorEastAsia" w:hAnsi="Times New Roman"/>
          <w:bCs/>
          <w:sz w:val="24"/>
          <w:szCs w:val="24"/>
          <w:lang w:eastAsia="pl-PL"/>
        </w:rPr>
        <w:t xml:space="preserve">Proponuje się w projekcie, aby strona mogła wystąpić </w:t>
      </w:r>
      <w:r w:rsidRPr="00530A3D">
        <w:rPr>
          <w:rFonts w:ascii="Times New Roman" w:eastAsiaTheme="minorEastAsia" w:hAnsi="Times New Roman"/>
          <w:sz w:val="24"/>
          <w:szCs w:val="24"/>
          <w:lang w:eastAsia="pl-PL"/>
        </w:rPr>
        <w:t xml:space="preserve">o wyznaczenie do załatwienia sprawy innego kierownika </w:t>
      </w:r>
      <w:r w:rsidRPr="00C543E1">
        <w:rPr>
          <w:rFonts w:ascii="Times New Roman" w:eastAsiaTheme="minorEastAsia" w:hAnsi="Times New Roman"/>
          <w:bCs/>
          <w:sz w:val="24"/>
          <w:szCs w:val="24"/>
          <w:lang w:eastAsia="pl-PL"/>
        </w:rPr>
        <w:t>biura powiatowego ARiMR</w:t>
      </w:r>
      <w:r w:rsidRPr="00530A3D">
        <w:rPr>
          <w:rFonts w:ascii="Times New Roman" w:eastAsiaTheme="minorEastAsia" w:hAnsi="Times New Roman"/>
          <w:sz w:val="24"/>
          <w:szCs w:val="24"/>
          <w:lang w:eastAsia="pl-PL"/>
        </w:rPr>
        <w:t xml:space="preserve">, </w:t>
      </w:r>
      <w:r w:rsidRPr="00C543E1">
        <w:rPr>
          <w:rFonts w:ascii="Times New Roman" w:eastAsiaTheme="minorEastAsia" w:hAnsi="Times New Roman"/>
          <w:bCs/>
          <w:sz w:val="24"/>
          <w:szCs w:val="24"/>
          <w:lang w:eastAsia="pl-PL"/>
        </w:rPr>
        <w:t>w przypadku gdy zostanie uprawdopodobnione istnienie okoliczności mogących wywołać wątpliwości co do bezstronności właściwego w sprawie kierownika biura powiatowego ARiMR.</w:t>
      </w:r>
    </w:p>
    <w:p w14:paraId="0FCEB9F8"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heme="minorEastAsia" w:hAnsi="Times New Roman"/>
          <w:bCs/>
          <w:sz w:val="24"/>
          <w:szCs w:val="24"/>
          <w:lang w:eastAsia="pl-PL"/>
        </w:rPr>
      </w:pPr>
      <w:r w:rsidRPr="00C543E1">
        <w:rPr>
          <w:rFonts w:ascii="Times New Roman" w:eastAsia="Times New Roman" w:hAnsi="Times New Roman"/>
          <w:bCs/>
          <w:sz w:val="24"/>
          <w:szCs w:val="24"/>
          <w:lang w:eastAsia="pl-PL"/>
        </w:rPr>
        <w:t xml:space="preserve">Zgodnie z art. 73 § 1 Kpa, strona ma prawo wglądu w akta sprawy, sporządzania z nich notatek, kopii lub odpisów. Prawo to przysługuje również po zakończeniu postępowania. Uprawienie to będzie realizowane na gruncie projektowanych przepisów ustawy w ten sposób, że nawet w przypadku wyznaczenia </w:t>
      </w:r>
      <w:r w:rsidRPr="00C543E1">
        <w:rPr>
          <w:rFonts w:ascii="Times New Roman" w:eastAsiaTheme="minorEastAsia" w:hAnsi="Times New Roman"/>
          <w:bCs/>
          <w:sz w:val="24"/>
          <w:szCs w:val="24"/>
          <w:lang w:eastAsia="pl-PL"/>
        </w:rPr>
        <w:t>do załatwienia sprawy innego kierownika biura powiatowego ARiMR</w:t>
      </w:r>
      <w:r w:rsidRPr="00C543E1">
        <w:rPr>
          <w:rFonts w:ascii="Times New Roman" w:eastAsiaTheme="minorEastAsia" w:hAnsi="Times New Roman"/>
          <w:sz w:val="24"/>
          <w:szCs w:val="24"/>
          <w:lang w:eastAsia="pl-PL"/>
        </w:rPr>
        <w:t xml:space="preserve"> niż właściwy ze względu na miejsce zamieszkania lub siedzibę strony strona będzie miała prawo podjąć decyzję, czy chce się zapoznać z aktami w siedzibie kierownika biura </w:t>
      </w:r>
      <w:r w:rsidRPr="00C543E1">
        <w:rPr>
          <w:rFonts w:ascii="Times New Roman" w:eastAsiaTheme="minorEastAsia" w:hAnsi="Times New Roman"/>
          <w:sz w:val="24"/>
          <w:szCs w:val="24"/>
          <w:lang w:eastAsia="pl-PL"/>
        </w:rPr>
        <w:lastRenderedPageBreak/>
        <w:t xml:space="preserve">powiatowego ARiMR właściwego ze względu na miejsce zamieszkania lub siedzibę strony, czy za pośrednictwem systemu informatycznego ARiMR. </w:t>
      </w:r>
      <w:r w:rsidRPr="00C543E1">
        <w:rPr>
          <w:rFonts w:ascii="Times New Roman" w:eastAsiaTheme="minorEastAsia" w:hAnsi="Times New Roman"/>
          <w:bCs/>
          <w:sz w:val="24"/>
          <w:szCs w:val="24"/>
          <w:lang w:eastAsia="pl-PL"/>
        </w:rPr>
        <w:t xml:space="preserve">W celu usprawnienia i uproszczenia prowadzenia postępowań, a także w celu zapewnienia, aby stosowane rozwiązania nie generowały nadmiernych kosztów po stronie ARiMR, proponuje się uregulowanie niektórych kwestii na zasadzie odstępstwa od przepisów Kpa, w szczególności art. 7, art. 9, art. 10, art. 77 § 1 i art. 81 Kpa. </w:t>
      </w:r>
    </w:p>
    <w:p w14:paraId="08C110B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Proponuje się, aby strony oraz inne osoby uczestniczące w postępowaniu w sprawach dotyczących przyznania pomocy, o której mowa w art. 20 pkt 1–6 projektowanej ustawy, były obowiązane przedstawiać dowody oraz dawać wyjaśnienia co do okoliczności sprawy zgodnie z prawdą i bez zatajania czegokolwiek. Proponuje się, aby ciężar udowodnienia faktu spoczywał na osobie, która z tego faktu wywodzi skutki prawne.</w:t>
      </w:r>
    </w:p>
    <w:p w14:paraId="71AA76F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Postępowanie w sprawie o przyznanie pomocy, o której mowa w art. 20 pkt 1–6 projektowanej ustawy, jest prowadzone na wniosek osoby, która rzeczywiście prowadzi działalność rolniczą. Zatem to ubiegający się o płatności powinien przedstawić wszelkie dowody niezbędne do dokładnego wyjaśnienia stanu faktycznego oraz do załatwienia sprawy.</w:t>
      </w:r>
    </w:p>
    <w:p w14:paraId="33A20C8A"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Przepisy analogiczne do powyższych regulacji zostały wprowadzone już w 2007 r. z uwagi na potrzebę położenia większego nacisku na uaktywnienie stron w przedmiotowym postępowaniu. Częstym problemem podnoszonym przez ARiMR był brak reakcji wnioskodawców na wezwania do uzupełniania danych zamieszczonych we wnioskach o przyznanie płatności, a nawet celowe uchylanie się od złożenia wyjaśnień. Częste były przypadki reagowania dopiero wówczas, gdy decyzja była dla wnioskodawców negatywna.</w:t>
      </w:r>
    </w:p>
    <w:p w14:paraId="6AC7CFE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Propozycja odejścia od zasady prawdy obiektywnej w postępowaniu administracyjnym dotyczącym przyznania płatności oraz uaktywnienia stron tego postępowania jest ściśle związana z obowiązkami ciążącymi na państwie członkowskim, a szczególnie na agencji płatniczej, w zakresie prawidłowego wydatkowania środków unijnych. Państwo członkowskie jest bowiem obowiązane na mocy przepisów UE do przyjęcia regulacji zapewniających skuteczną ochronę interesów finansowych UE (art. 59 ust. 1 rozporządzenia 2021/2116). Z tego względu jest konieczne zarówno ograniczenie, tam gdzie to możliwe, uznaniowości organów, przed którymi toczą się postępowania w sprawie o przyznanie pomocy, przez określenie precyzyjnych kryteriów przyznawania pomocy, jak i oparcie postępowania dowodowego w znacznym stopniu na dowodach przedstawionych przez stronę w toku postępowania przez przeniesienie ciężaru udowodnienia faktu na osobę, która z tego faktu wywodzi skutki prawne.</w:t>
      </w:r>
    </w:p>
    <w:p w14:paraId="0E7F3BC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Omawiana wyżej instytucja jest wzorowana na ugruntowanych w doktrynie i sprawdzonych w praktyce przepisach Kodeksu postępowania cywilnego i Kc. Wyłączenie stosowania przepisów Kpa w tym zakresie jest stosowane obecnie i nie powoduje osłabienia sytuacji prawnej wnioskodawców w postępowaniu w sprawie o przyznanie pomocy, gdyż w praktyce proponowane regulacje mają zastosowanie w sytuacjach spornych, np. w przypadku złożenia wniosku na tę samą działkę przez dwóch albo większą liczbę wnioskodawców. W sytuacji gdy taki spór nie istnieje, kierownik biura powiatowego ARiMR, wydając decyzję w sprawie o przyznanie płatności, bierze pod uwagę zawarte we wniosku oświadczenie wnioskodawcy o posiadaniu działek rolnych objętych wnioskiem. W takim przypadku w postępowaniu w sprawie o przyznanie płatności jest to wystarczający dowód, na podstawie którego następuje pozytywne rozpatrzenie wniosku.</w:t>
      </w:r>
    </w:p>
    <w:p w14:paraId="422585D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Ponadto podkreślenia wymaga to, że przerzucenie ciężaru dowodowego na osobę, która z danego faktu wywodzi skutki prawne, nie jest sprzeczne z podstawowymi zasadami procedury administracyjnej. Przepisy Kpa przewidują bowiem kontradyktoryjny tryb postępowania, np. w przypadku wyznaczenia przez organ rozprawy w sytuacjach spornych. Na rozprawie strony ustosunkowują się do materiału zgromadzonego przez organ, składają wyjaśnienia, zgłaszają żądania, propozycje i zarzuty oraz wypowiadają się co do wyników postępowania administracyjnego. Rozprawa pozwala na wymianę poglądów uczestników postępowania wyjaśniającego, ich uzgadnianie i tworzy możliwość szybkiego komunikowania się, a w rezultacie sprzyja usprawnieniu i uproszczeniu postępowania wyjaśniającego i zabezpieczeniu zasady ogólnej szybkości postępowania.</w:t>
      </w:r>
    </w:p>
    <w:p w14:paraId="348C00D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Należy podkreślić, że dotychczasowa praktyka wskazuje, że przerzucenie ciężaru dowodowego na osobę, która z danego faktu wywodzi skutki prawne, korzystnie wpłynęło na ekonomikę prowadzonych postępowań.</w:t>
      </w:r>
    </w:p>
    <w:p w14:paraId="7A09F8DF"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 powyższych względów dokonano też modyfikacji w zakresie dotyczącym:</w:t>
      </w:r>
    </w:p>
    <w:p w14:paraId="6B9D7400" w14:textId="77777777" w:rsidR="00F9038A" w:rsidRPr="00C543E1" w:rsidRDefault="00F9038A" w:rsidP="00530A3D">
      <w:pPr>
        <w:numPr>
          <w:ilvl w:val="0"/>
          <w:numId w:val="27"/>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zebrania i rozpatrzenia przez organ, przed którym toczy się postępowanie administracyjne, materiału dowodowego (art. 77 § 1 Kpa), ograniczając w projektowanych przepisach stosowanie przepisu Kpa jedynie do obowiązku rozpatrzenia w sposób wyczerpujący całego materiału dowodowego;</w:t>
      </w:r>
    </w:p>
    <w:p w14:paraId="127820E9" w14:textId="77777777" w:rsidR="00F9038A" w:rsidRPr="00C543E1" w:rsidRDefault="00F9038A" w:rsidP="00530A3D">
      <w:pPr>
        <w:numPr>
          <w:ilvl w:val="0"/>
          <w:numId w:val="27"/>
        </w:numPr>
        <w:autoSpaceDE w:val="0"/>
        <w:autoSpaceDN w:val="0"/>
        <w:adjustRightInd w:val="0"/>
        <w:spacing w:after="0" w:line="360" w:lineRule="auto"/>
        <w:ind w:left="510" w:hanging="510"/>
        <w:jc w:val="both"/>
        <w:rPr>
          <w:rFonts w:ascii="Times New Roman" w:eastAsiaTheme="minorHAnsi" w:hAnsi="Times New Roman"/>
          <w:sz w:val="24"/>
          <w:szCs w:val="24"/>
        </w:rPr>
      </w:pPr>
      <w:r w:rsidRPr="00C543E1">
        <w:rPr>
          <w:rFonts w:ascii="Times New Roman" w:eastAsiaTheme="minorHAnsi" w:hAnsi="Times New Roman"/>
          <w:sz w:val="24"/>
          <w:szCs w:val="24"/>
        </w:rPr>
        <w:t>ograniczenia stosowania zasady wyrażonej w art. 10 Kpa jedynie do obowiązku zapewnienia stronom, ale na ich żądanie, czynnego udziału w każdym stadium postępowania, z jednoczesnym wyłączeniem stosowania przepisu art. 81 Kpa.</w:t>
      </w:r>
    </w:p>
    <w:p w14:paraId="2593365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 xml:space="preserve">Jednocześnie przez określenie w projektowanych przepisach, że w postępowaniu administracyjnym w sprawie o przyznanie płatności organ, przed którym toczy się postępowanie stoi na straży praworządności, proponuje się stosowanie w tym postępowaniu art. 7 Kpa tylko w części stanowiącej zasadę praworządności. </w:t>
      </w:r>
    </w:p>
    <w:p w14:paraId="1B980A6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Kolejne regulacje projektowanej ustawy wynikają z potrzeby uwzględnienia w przepisach krajowych możliwości wykorzystania zdjęć wykonanych i przesyłanych przez stronę postępowania z wykorzystaniem aplikacji udostępnionej przez ARiMR, w tym zdjęć geotagowanych będących zdjęciami zawierającymi informacje o długości i szerokości geograficznej miejsca ich wykonania. Zdjęcia geotagowane będą stanowiły dokument urzędowy zgodnie z art. 76 § 1 Kpa. Przesłane zdjęcie może stanowić bowiem istotny dowód w sprawie, na podstawie którego możliwe będzie rozstrzygnięcie kwestii związanych z potwierdzeniem lub też zanegowaniem deklaracji rolnika, czy faktu wypełnienia zobowiązań wynikających z ubiegania się o płatności. Agencje płatnicze w państwach członkowskich UE mają możliwość stosowania geotagowanych zdjęć od 2018 r. Powyższe przepisy stanowią kontynuację rozwiązań stosowanych dotychczas w przepisach dotyczących płatności bezpośrednich i działań obszarowych PROW.</w:t>
      </w:r>
    </w:p>
    <w:p w14:paraId="32D33196"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Projektowany art. 70 reguluje upoważnienie dla ministra właściwego do spraw rozwoju wsi do określenia, w drodze rozporządzenia, szczegółowych warunków lub trybu przyznawania oraz wypłaty płatności bezpośrednich lub przejściowego wparcia krajowego oraz szczegółowe warunki lub tryb przyznawania tych płatności lub przejściowego wsparcia krajowego następcy prawnemu rolnika lub przejmującemu gospodarstwo, a także wysokość kar i sposób ich obliczania (w szczególności kolejność naliczania kar), z wyjątkiem kar administracyjnych. Zgodnie z przepisami projektowanej ustawy w przepisach wykonawczych zostaną określone również szczegółowe warunki oraz tryb przyznawania płatności dobrostanowych, a także tryb ich wypłaty i zwrotu. Ponadto w tych przepisach zostaną określone praktyki podwyższające poziom dobrostanu zwierząt, których realizacja jest warunkiem przyznania płatności dobrostanowych, oraz liczba punktów przyznawanych za realizację tych praktyk. Regulacje dotyczące następstwa prawnego będą odpowiadać rozwiązaniom wypracowanym w ramach dotychczasowej praktyki stosowania wsparcia bezpośredniego.</w:t>
      </w:r>
    </w:p>
    <w:p w14:paraId="6B22151E" w14:textId="77777777" w:rsidR="00F9038A" w:rsidRPr="00530A3D" w:rsidRDefault="00F9038A">
      <w:pPr>
        <w:autoSpaceDE w:val="0"/>
        <w:autoSpaceDN w:val="0"/>
        <w:adjustRightInd w:val="0"/>
        <w:spacing w:before="120" w:after="0" w:line="360" w:lineRule="auto"/>
        <w:jc w:val="both"/>
        <w:rPr>
          <w:rFonts w:ascii="Times New Roman" w:eastAsia="Times" w:hAnsi="Times New Roman"/>
          <w:sz w:val="24"/>
          <w:szCs w:val="24"/>
        </w:rPr>
      </w:pPr>
      <w:r w:rsidRPr="00C543E1">
        <w:rPr>
          <w:rFonts w:ascii="Times New Roman" w:hAnsi="Times New Roman"/>
          <w:sz w:val="24"/>
          <w:szCs w:val="24"/>
        </w:rPr>
        <w:t xml:space="preserve">Analogicznie do powyższej regulacji w projektowanym art. 71 zaproponowano uregulowanie upoważnienia dla ministra właściwego do spraw rozwoju wsi do określenia, w drodze rozporządzenia, szczegółowych warunków lub szczegółowego trybu przyznawania lub wypłaty poszczególnych rodzajów pomocy, o których mowa w art. 20 pkt 3–6, w tym szczegółowe </w:t>
      </w:r>
      <w:r w:rsidRPr="00C543E1">
        <w:rPr>
          <w:rFonts w:ascii="Times New Roman" w:hAnsi="Times New Roman"/>
          <w:sz w:val="24"/>
          <w:szCs w:val="24"/>
        </w:rPr>
        <w:lastRenderedPageBreak/>
        <w:t>wymagania, jakie powinny spełniać wnioski o przyznanie tej pomocy, oraz szczegółowe warunki lub tryb przyznawania tej pomocy następcy prawnemu podmiotu ubiegającego się o jej przyznanie lub przejmującemu grunty lub zwierzęta, lub wysokość kar i sposób ich obliczania (w szczególności kolejność naliczania kar), z wyjątkiem kar administracyjnych, oraz stawki tej pomocy.</w:t>
      </w:r>
      <w:r w:rsidRPr="00530A3D">
        <w:rPr>
          <w:rFonts w:ascii="Times New Roman" w:eastAsia="Times" w:hAnsi="Times New Roman"/>
          <w:sz w:val="24"/>
          <w:szCs w:val="24"/>
        </w:rPr>
        <w:t xml:space="preserve"> Jednocześnie, wydając rozporządzenie dotyczące wsparcia inwestycji leśnych lub zadrzewieniowych, zostaną określone kryteria wyboru operacji, mając na względzie cele określone w art. 79 rozporządzenia 2021/2115.</w:t>
      </w:r>
    </w:p>
    <w:p w14:paraId="159100A2" w14:textId="77777777" w:rsidR="00F9038A" w:rsidRPr="00530A3D" w:rsidRDefault="00F9038A">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C543E1">
        <w:rPr>
          <w:rFonts w:ascii="Times New Roman" w:hAnsi="Times New Roman"/>
          <w:sz w:val="24"/>
          <w:szCs w:val="24"/>
        </w:rPr>
        <w:t xml:space="preserve">Zgodnie z projektowanym art. 72 kierownik biura powiatowego ARiMR jest organem właściwym w sprawach uznawania przypadków działania siły wyższej lub wystąpienia nadzwyczajnych okoliczności oraz określa tryb uznawania danego przypadku za działanie siły wyższej lub wystąpienia nadzwyczajnych okoliczności. Uznanie albo odmowa następuje w decyzji w sprawie o przyznanie pomocy, o której mowa w art. 20 pkt 1–5 projektu. Należy wyjaśnić, że w przypadku gdy niezgodność z warunkami przyznawania pomocy wynika z działania siły wyższej lub nadzwyczajnych okoliczności, zgodnie z art. 3 rozporządzenia 2021/2116, beneficjent zachowuje prawo do otrzymania pomocy. Niemniej jednak w takim przypadku (tj. wystąpienia nadzwyczajnych okoliczności lub siły wyższej, które mogą mieć wpływ na powierzchnię kwalifikującą się do płatności lub liczbę zwierząt kwalifikujących się do płatności związanych do zwierząt) beneficjent powinien </w:t>
      </w:r>
      <w:r w:rsidRPr="00530A3D">
        <w:rPr>
          <w:rFonts w:ascii="Times New Roman" w:eastAsiaTheme="minorEastAsia" w:hAnsi="Times New Roman"/>
          <w:sz w:val="24"/>
          <w:szCs w:val="24"/>
          <w:lang w:eastAsia="pl-PL"/>
        </w:rPr>
        <w:t>niezwłocznie</w:t>
      </w:r>
      <w:r w:rsidRPr="00C543E1">
        <w:rPr>
          <w:rFonts w:ascii="Times New Roman" w:hAnsi="Times New Roman"/>
          <w:sz w:val="24"/>
          <w:szCs w:val="24"/>
        </w:rPr>
        <w:t xml:space="preserve"> złożyć do kierownika biura powiatowego ARiMR właściwego</w:t>
      </w:r>
      <w:r w:rsidRPr="00530A3D">
        <w:rPr>
          <w:rFonts w:ascii="Times New Roman" w:eastAsiaTheme="minorEastAsia" w:hAnsi="Times New Roman"/>
          <w:sz w:val="24"/>
          <w:szCs w:val="24"/>
          <w:lang w:eastAsia="pl-PL"/>
        </w:rPr>
        <w:t xml:space="preserve"> do wydania decyzji w sprawie o przyznanie pomocy, o której mowa w art. 20 pkt 1–5</w:t>
      </w:r>
      <w:r w:rsidRPr="00C543E1">
        <w:rPr>
          <w:rFonts w:ascii="Times New Roman" w:hAnsi="Times New Roman"/>
          <w:sz w:val="24"/>
          <w:szCs w:val="24"/>
        </w:rPr>
        <w:t xml:space="preserve">, </w:t>
      </w:r>
      <w:r w:rsidRPr="00530A3D">
        <w:rPr>
          <w:rFonts w:ascii="Times New Roman" w:eastAsiaTheme="minorEastAsia" w:hAnsi="Times New Roman"/>
          <w:sz w:val="24"/>
          <w:szCs w:val="24"/>
          <w:lang w:eastAsia="pl-PL"/>
        </w:rPr>
        <w:t>wniosek o uznanie danego przypadku za działanie siły wyższej lub wystąpienie nadzwyczajnych okoliczności. Złożenie wniosku powinno nastąpić bez zbędnej zwłoki, tj. kiedy tylko beneficjent stwierdzi wystąpienie okoliczności, a złożeniu wniosku nie stoją na przeszkodzenie inne okoliczności, np. choroba uniemożliwiająca działanie.</w:t>
      </w:r>
    </w:p>
    <w:p w14:paraId="76D20D82"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Projektowana ustawa (art. 73) ustanawia kierownika biura powiatowego ARiMR organem właściwym w sprawach zwrotu środków finansowych, o których mowa w art. 17 ust. 4 rozporządzenia 2021/2116, potrąconych z tytułu dyscypliny finansowej, w przypadku gdy współczynnik korygujący uległ zmniejszeniu, oraz określa tryb zwrotu tych środków, wskazując, że następuje on w odrębnej decyzji lub w decyzji w sprawie o przyznanie płatności bezpośrednich. Ponadto w projekcie ustawy proponuje się upoważnić ministra właściwego do spraw rolnictwa do określenia, w drodze rozporządzenia, warunków dokonywania zwrotu tych środków.</w:t>
      </w:r>
    </w:p>
    <w:p w14:paraId="735D191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lastRenderedPageBreak/>
        <w:t>W projekcie ustawy zaproponowano określenie sposobu postępowania w przypadku konieczności zastosowania zmniejszenia (redukcji) kwoty pomocy, o której mowa w art. 20 pkt 1–4 projektu.</w:t>
      </w:r>
    </w:p>
    <w:p w14:paraId="559800F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projekcie ustawy zaproponowano, że należności ustalone w decyzji w sprawie o przyznanie pomocy, o której mowa w art. 20 pkt 1–2 projektu, nie mogą być przedmiotem umowy przeniesienia wierzytelności na osobę trzecią (przelewu), o której mowa w przepisach Kc, z wyjątkiem umowy przelewu na zakład ubezpieczeń, który zawarł z ministrem właściwym do spraw rolnictwa umowę, o której mowa w art. 9 ust. 1 ustawy z dnia 7 lipca 2005 r. o ubezpieczeniach upraw rolnych i zwierząt gospodarskich (Dz. U. z 2019 r. poz. 477), zawartej w celu uiszczenia należnych składek z tytułu ubezpieczenia.</w:t>
      </w:r>
    </w:p>
    <w:p w14:paraId="436AB2F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projekcie ustawy zaproponowano uregulowanie sytuacji, w której kwota pomocy, o której mowa w art. 20 pkt 1–5 projektu, nie może zostać przekazana na rachunek bankowy wnioskodawcy z przyczyn niezależnych od ARiMR. Wówczas kierownik biura powiatowego ARiMR stwierdza wygaśnięcie decyzji o przyznaniu pomocy, o ile od dnia, w którym ta decyzja stała się ostateczna, upłynęły co najmniej 2 lata.</w:t>
      </w:r>
    </w:p>
    <w:p w14:paraId="6F608B63" w14:textId="65ECF7F4" w:rsidR="00F9038A" w:rsidRPr="00C543E1" w:rsidRDefault="00F9038A" w:rsidP="00530A3D">
      <w:pPr>
        <w:suppressAutoHyphens/>
        <w:autoSpaceDE w:val="0"/>
        <w:autoSpaceDN w:val="0"/>
        <w:adjustRightInd w:val="0"/>
        <w:spacing w:before="120" w:after="0" w:line="360" w:lineRule="auto"/>
        <w:jc w:val="both"/>
        <w:rPr>
          <w:rFonts w:ascii="Times New Roman" w:eastAsiaTheme="minorEastAsia" w:hAnsi="Times New Roman"/>
          <w:bCs/>
          <w:sz w:val="24"/>
          <w:szCs w:val="24"/>
          <w:lang w:eastAsia="pl-PL"/>
        </w:rPr>
      </w:pPr>
      <w:r w:rsidRPr="00C543E1">
        <w:rPr>
          <w:rFonts w:ascii="Times New Roman" w:eastAsiaTheme="minorEastAsia" w:hAnsi="Times New Roman"/>
          <w:sz w:val="24"/>
          <w:szCs w:val="24"/>
          <w:lang w:eastAsia="pl-PL"/>
        </w:rPr>
        <w:t xml:space="preserve">W projekcie </w:t>
      </w:r>
      <w:r w:rsidRPr="00C543E1">
        <w:rPr>
          <w:rFonts w:ascii="Times New Roman" w:eastAsiaTheme="minorEastAsia" w:hAnsi="Times New Roman"/>
          <w:bCs/>
          <w:sz w:val="24"/>
          <w:szCs w:val="24"/>
          <w:lang w:eastAsia="pl-PL"/>
        </w:rPr>
        <w:t>ustawy zaproponowano regulacj</w:t>
      </w:r>
      <w:r w:rsidRPr="00C543E1">
        <w:rPr>
          <w:rFonts w:ascii="Times New Roman" w:eastAsiaTheme="minorEastAsia" w:hAnsi="Times New Roman"/>
          <w:sz w:val="24"/>
          <w:szCs w:val="24"/>
          <w:lang w:eastAsia="pl-PL"/>
        </w:rPr>
        <w:t>ę</w:t>
      </w:r>
      <w:r w:rsidRPr="00C543E1">
        <w:rPr>
          <w:rFonts w:ascii="Times New Roman" w:eastAsiaTheme="minorEastAsia" w:hAnsi="Times New Roman"/>
          <w:bCs/>
          <w:sz w:val="24"/>
          <w:szCs w:val="24"/>
          <w:lang w:eastAsia="pl-PL"/>
        </w:rPr>
        <w:t xml:space="preserve"> pozwalając</w:t>
      </w:r>
      <w:r w:rsidRPr="00C543E1">
        <w:rPr>
          <w:rFonts w:ascii="Times New Roman" w:eastAsiaTheme="minorEastAsia" w:hAnsi="Times New Roman"/>
          <w:sz w:val="24"/>
          <w:szCs w:val="24"/>
          <w:lang w:eastAsia="pl-PL"/>
        </w:rPr>
        <w:t>ą</w:t>
      </w:r>
      <w:r w:rsidRPr="00C543E1">
        <w:rPr>
          <w:rFonts w:ascii="Times New Roman" w:eastAsiaTheme="minorEastAsia" w:hAnsi="Times New Roman"/>
          <w:bCs/>
          <w:sz w:val="24"/>
          <w:szCs w:val="24"/>
          <w:lang w:eastAsia="pl-PL"/>
        </w:rPr>
        <w:t xml:space="preserve"> na wykonywanie elektronicznych kopii dokumentów gromadzonych </w:t>
      </w:r>
      <w:r w:rsidRPr="00C543E1">
        <w:rPr>
          <w:rFonts w:ascii="Times New Roman" w:eastAsiaTheme="minorEastAsia" w:hAnsi="Times New Roman"/>
          <w:sz w:val="24"/>
          <w:szCs w:val="24"/>
          <w:lang w:eastAsia="pl-PL"/>
        </w:rPr>
        <w:t xml:space="preserve">po zakończeniu </w:t>
      </w:r>
      <w:r w:rsidRPr="00C543E1">
        <w:rPr>
          <w:rFonts w:ascii="Times New Roman" w:eastAsiaTheme="minorEastAsia" w:hAnsi="Times New Roman"/>
          <w:bCs/>
          <w:sz w:val="24"/>
          <w:szCs w:val="24"/>
          <w:lang w:eastAsia="pl-PL"/>
        </w:rPr>
        <w:t xml:space="preserve">postępowań </w:t>
      </w:r>
      <w:r w:rsidRPr="00C543E1">
        <w:rPr>
          <w:rFonts w:ascii="Times New Roman" w:eastAsiaTheme="minorEastAsia" w:hAnsi="Times New Roman"/>
          <w:sz w:val="24"/>
          <w:szCs w:val="24"/>
          <w:lang w:eastAsia="pl-PL"/>
        </w:rPr>
        <w:t>w sprawie o przyznanie pomocy, o której mowa w art. 20 pkt 1</w:t>
      </w:r>
      <w:r w:rsidRPr="00C543E1">
        <w:rPr>
          <w:rFonts w:ascii="Times New Roman" w:eastAsiaTheme="minorEastAsia" w:hAnsi="Times New Roman"/>
          <w:bCs/>
          <w:sz w:val="24"/>
          <w:szCs w:val="24"/>
          <w:lang w:eastAsia="pl-PL"/>
        </w:rPr>
        <w:t>–</w:t>
      </w:r>
      <w:r w:rsidRPr="00C543E1">
        <w:rPr>
          <w:rFonts w:ascii="Times New Roman" w:eastAsiaTheme="minorEastAsia" w:hAnsi="Times New Roman"/>
          <w:sz w:val="24"/>
          <w:szCs w:val="24"/>
          <w:lang w:eastAsia="pl-PL"/>
        </w:rPr>
        <w:t xml:space="preserve">5. </w:t>
      </w:r>
      <w:r w:rsidRPr="00C543E1">
        <w:rPr>
          <w:rFonts w:ascii="Times New Roman" w:eastAsiaTheme="minorEastAsia" w:hAnsi="Times New Roman"/>
          <w:bCs/>
          <w:sz w:val="24"/>
          <w:szCs w:val="24"/>
          <w:lang w:eastAsia="pl-PL"/>
        </w:rPr>
        <w:t>Proponuje się, aby po zakończeniu postępowania administracyjnego w tych sprawach, a</w:t>
      </w:r>
      <w:r w:rsidR="00094E11">
        <w:rPr>
          <w:rFonts w:ascii="Times New Roman" w:eastAsiaTheme="minorEastAsia" w:hAnsi="Times New Roman"/>
          <w:bCs/>
          <w:sz w:val="24"/>
          <w:szCs w:val="24"/>
          <w:lang w:eastAsia="pl-PL"/>
        </w:rPr>
        <w:t xml:space="preserve"> </w:t>
      </w:r>
      <w:r w:rsidRPr="00C543E1">
        <w:rPr>
          <w:rFonts w:ascii="Times New Roman" w:eastAsiaTheme="minorEastAsia" w:hAnsi="Times New Roman"/>
          <w:bCs/>
          <w:sz w:val="24"/>
          <w:szCs w:val="24"/>
          <w:lang w:eastAsia="pl-PL"/>
        </w:rPr>
        <w:t>w</w:t>
      </w:r>
      <w:r w:rsidR="00094E11">
        <w:rPr>
          <w:rFonts w:ascii="Times New Roman" w:eastAsiaTheme="minorEastAsia" w:hAnsi="Times New Roman"/>
          <w:bCs/>
          <w:sz w:val="24"/>
          <w:szCs w:val="24"/>
          <w:lang w:eastAsia="pl-PL"/>
        </w:rPr>
        <w:t xml:space="preserve"> </w:t>
      </w:r>
      <w:r w:rsidRPr="00C543E1">
        <w:rPr>
          <w:rFonts w:ascii="Times New Roman" w:eastAsiaTheme="minorEastAsia" w:hAnsi="Times New Roman"/>
          <w:bCs/>
          <w:sz w:val="24"/>
          <w:szCs w:val="24"/>
          <w:lang w:eastAsia="pl-PL"/>
        </w:rPr>
        <w:t xml:space="preserve">przypadku przysługiwania stronie prawa wniesienia skargi do sądu administracyjnego </w:t>
      </w:r>
      <w:r w:rsidRPr="00C543E1">
        <w:rPr>
          <w:rFonts w:ascii="Times New Roman" w:hAnsi="Times New Roman"/>
          <w:sz w:val="24"/>
          <w:szCs w:val="24"/>
        </w:rPr>
        <w:t xml:space="preserve">– </w:t>
      </w:r>
      <w:r w:rsidRPr="00C543E1">
        <w:rPr>
          <w:rFonts w:ascii="Times New Roman" w:eastAsiaTheme="minorEastAsia" w:hAnsi="Times New Roman"/>
          <w:bCs/>
          <w:sz w:val="24"/>
          <w:szCs w:val="24"/>
          <w:lang w:eastAsia="pl-PL"/>
        </w:rPr>
        <w:t>po bezskutecznym upływie terminu przewidzianego na wniesienie tej skargi albo po prawomocnym zakończeniu postępowania sądowo-administracyjnego, w wyniku którego ostateczna decyzja kończąca postępowanie w sprawie nie została wyeliminowana z obrotu prawnego, dokumenty składające się na akta sprawy, o ile powstały w postaci papierowej, były kopiowane elektronicznie i pozostawione w tej postaci w aktach sprawy, zamiast ich papierowych oryginałów.</w:t>
      </w:r>
      <w:r w:rsidRPr="00C543E1">
        <w:rPr>
          <w:rFonts w:ascii="Times New Roman" w:eastAsiaTheme="minorEastAsia" w:hAnsi="Times New Roman"/>
          <w:sz w:val="24"/>
          <w:szCs w:val="24"/>
          <w:lang w:eastAsia="pl-PL"/>
        </w:rPr>
        <w:t xml:space="preserve"> Powyższe regulacje stanowią kontynuację rozwiązań stosowanych obecnie w przepisach dotyczących płatności bezpośrednich, </w:t>
      </w:r>
      <w:r w:rsidRPr="00C543E1">
        <w:rPr>
          <w:rFonts w:ascii="Times New Roman" w:eastAsiaTheme="minorEastAsia" w:hAnsi="Times New Roman"/>
          <w:bCs/>
          <w:sz w:val="24"/>
          <w:szCs w:val="24"/>
          <w:lang w:eastAsia="pl-PL"/>
        </w:rPr>
        <w:t>ustawy</w:t>
      </w:r>
      <w:r w:rsidRPr="00C543E1">
        <w:rPr>
          <w:rFonts w:ascii="Times New Roman" w:eastAsiaTheme="minorEastAsia" w:hAnsi="Times New Roman"/>
          <w:sz w:val="24"/>
          <w:szCs w:val="24"/>
          <w:lang w:eastAsia="pl-PL"/>
        </w:rPr>
        <w:t xml:space="preserve"> o PROW 2014–2020 oraz przepisach ustawy z dnia 18 grudnia 2003 r. o krajowym systemie ewidencji </w:t>
      </w:r>
      <w:r w:rsidRPr="00C543E1">
        <w:rPr>
          <w:rFonts w:ascii="Times New Roman" w:eastAsia="Times New Roman" w:hAnsi="Times New Roman"/>
          <w:bCs/>
          <w:sz w:val="24"/>
          <w:szCs w:val="24"/>
          <w:lang w:eastAsia="pl-PL"/>
        </w:rPr>
        <w:t>producentów, ewidencji gospodarstw rolnych oraz ewidencji wniosków o przyznanie płatności.</w:t>
      </w:r>
    </w:p>
    <w:p w14:paraId="65D0571D"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Projektowany art. 80 określa obowiązek Prezesa ARiMR w zakresie obliczania i ogłaszania średniej powierzchni gruntów rolnych w gospodarstwie rolnym w poszczególnych województwach oraz średniej powierzchni gruntów rolnych w gospodarstwie rolnym w kraju. </w:t>
      </w:r>
      <w:r w:rsidRPr="00C543E1">
        <w:rPr>
          <w:rFonts w:ascii="Times New Roman" w:hAnsi="Times New Roman"/>
          <w:sz w:val="24"/>
          <w:szCs w:val="24"/>
        </w:rPr>
        <w:lastRenderedPageBreak/>
        <w:t>Dane te będą wykorzystywane przy ustalaniu kwalifikowalności do wsparcia w ramach niektórych działań II filaru WPR.</w:t>
      </w:r>
    </w:p>
    <w:p w14:paraId="04AAE102"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5. Pomoc przyznawana na podstawie umowy (art. 81–99)</w:t>
      </w:r>
    </w:p>
    <w:p w14:paraId="2A86CBAA"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projektowanym rozdziale określono wzorem przepisów obowiązujących w odniesieniu do PROW 2014–2020, że do postępowań w sprawach o przyznanie pomocy w ramach interwencji, w których pomoc jest przyznawana na podstawie umowy o przyznaniu pomocy, nie stosuje się przepisów Kpa, z wyjątkiem przepisów dotyczących właściwości miejscowej organów, wyłączenia pracowników organu, udostępniania akt oraz skarg i wniosków, o ile przepisy ustawy nie stanowią inaczej. Zaproponowano również, żeby przepisy art. 66 ust. 1–3 ustawy dotyczące przyznawania pomocy w drodze decyzji były odpowiednio stosowane do przyznawania pomocy na podstawie umowy. </w:t>
      </w:r>
    </w:p>
    <w:p w14:paraId="10400C9B" w14:textId="11ECB635"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przypadku złożenia wniosku o przyznanie pomocy w ramach interwencji wdrażanych przez agencję płatniczą zakłada się możliwość wyznaczenia do rozpoznania sprawy przez Prezesa ARiMR właściwej jednostki organizacyjnej ARiMR. W przypadku niewyznaczenia jednostki organizacyjnej ARMiR sprawę rozpoznaje Centrala ARMiR.</w:t>
      </w:r>
    </w:p>
    <w:p w14:paraId="0430539B" w14:textId="2B39DDFB"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celu ograniczenia zbędnych obciążeń nakładanych na podmioty ubiegające się o przyznanie pomocy wskazano, że w toku postępowania w sprawie o przyznanie pomocy podmiot właściwy w sprawie o przyznanie pomocy nie może żądać zaświadczeń oraz dokumentów na</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potwierdzenie faktów lub stanu prawnego, jeżeli są one znane temu podmiotowi z urzędu albo są możliwe do ustalenia przez ten podmiot. Ponadto ustanowiono możliwość żądania od podmiotu ubiegającego się o przyznanie pomocy oświadczeń w celu potwierdzenia przez niego faktów lub stanu prawnego niezbędnych do przyznania pomocy. Oświadczenia składa się pod rygorem odpowiedzialności karnej za składanie fałszywych oświadczeń.</w:t>
      </w:r>
    </w:p>
    <w:p w14:paraId="4D0404C0" w14:textId="201E7C28"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zaproponowano przepisy gwarantujące wyłączenie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obowiązku udostępniania w trybie przepisów ustawy z dnia 6 września 2001 r. o dostępie do informacji publicznej (Dz. U. z 2022 r. poz. 902) oraz ustawy z dnia 3 października 2008 r. o udostępnianiu informacji o środowisku i jego ochronie, udziale społeczeństwa w ochronie środowiska oraz o ocenach oddziaływania na środowisko (Dz. U. z 2022 r. poz. 1029, z późn. zm.) dokumentów i informacji przedstawianych przez podmioty ubiegające się o przyznanie pomocy oraz czasowe ograniczenie w dostępie do dokumentów i informacji wytworzonych lub przygotowanych przez podmioty właściwe w sprawie o przyznanie pomocy w związku z oceną dokumentów i informacji przedstawianych przez podmioty ubiegające się o przyznanie </w:t>
      </w:r>
      <w:r w:rsidRPr="00C543E1">
        <w:rPr>
          <w:rFonts w:ascii="Times New Roman" w:eastAsia="Times New Roman" w:hAnsi="Times New Roman"/>
          <w:sz w:val="24"/>
          <w:szCs w:val="24"/>
          <w:lang w:eastAsia="pl-PL"/>
        </w:rPr>
        <w:lastRenderedPageBreak/>
        <w:t>pomocy. Celem wprowadzenia tych przepisów jest zapobieganie dezorganizacji procesu przyznawania pomocy, zapewnienie jego bezstronności oraz zapobieganie nieuczciwym praktykom polegającym na powielaniu w ramach danego postępowania rozwiązań opracowanych przez inne podmioty ubiegające się o przyznanie pomocy.</w:t>
      </w:r>
    </w:p>
    <w:p w14:paraId="2E37105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projektowaną ustawą wniosek o przyznanie pomocy składa się w terminie wskazanym w ogłoszeniu o naborze wniosków o przyznanie pomocy.</w:t>
      </w:r>
    </w:p>
    <w:p w14:paraId="117BBF17"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projektowanej ustawie zamieszczono regulacje dotyczące ogłoszenia o naborze wniosków, które podmiot właściwy w sprawie o przyznanie pomocy podaje do publicznej wiadomości co najmniej na swojej stronie internetowej. Określono również informacje, które mają być zawarte w tym ogłoszeniu. Zaproponowano, żeby podmiot właściwy w sprawie o przyznanie pomocy przeprowadzał nabór na podstawie określonego przez siebie regulaminu oraz określono wymagania dotyczące minimalnej zawartości tego regulaminu. </w:t>
      </w:r>
    </w:p>
    <w:p w14:paraId="535EA022"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przypadku gdy zgodnie z Planem Strategicznym beneficjentem pomocy może być wyłącznie jednostka doradztwa rolniczego, wniosek o przyznanie pomocy składa się w terminie wskazanym w zaproszeniu skierowanym do tej jednostki przez podmiot właściwy w sprawie o przyznanie pomocy.</w:t>
      </w:r>
    </w:p>
    <w:p w14:paraId="70321CD4"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Planem Strategicznym operacje w zakresie szkoleń podstawowych dla rolników oraz kompleksowych programów doradczych (art. 78 rozporządzenia 2021/2115) będą realizowane przez wojewódzkie ośrodki doradztwa rolniczego w rozumieniu art. 2 ust. 1 pkt 2 ustawy z dnia 22 października 2004 r. o jednostkach doradztwa rolniczego (Dz. U. z 2020 r. poz. 721), a operacje w zakresie podstawowych i uzupełniających szkoleń dla doradców rolniczych (art. 78 rozporządzenia 2021/2115) przez Centrum Doradztwa Rolniczego w Brwinowie (CDR) w rozumieniu art. 2 ust. 1 pkt 1 ustawy z dnia 22 października 2004 r. o jednostkach doradztwa rolniczego.</w:t>
      </w:r>
    </w:p>
    <w:p w14:paraId="4D88E11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Podstawowym argumentem przemawiającym za powierzeniem realizacji tych operacji wskazanym z góry podmiotom jest umożliwienie realizacji szkoleń dla rolników oraz usług doradczych od początku wdrażania Planu Strategicznego. Jest to niezmiernie istotne w kontekście przewidywanej roli doradztwa w realizacji celów Planu Strategicznego oraz Europejskiego Zielonego Ładu. </w:t>
      </w:r>
    </w:p>
    <w:p w14:paraId="1730BED3" w14:textId="77777777" w:rsidR="00F9038A" w:rsidRPr="00C543E1" w:rsidRDefault="00F9038A" w:rsidP="00530A3D">
      <w:pPr>
        <w:keepNext/>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Argumentami za powierzeniem wdrażania przedmiotowych operacji ośrodkom doradztwa rolniczego są, m.in.:</w:t>
      </w:r>
    </w:p>
    <w:p w14:paraId="44155B5A" w14:textId="77777777" w:rsidR="00F9038A" w:rsidRPr="00C543E1" w:rsidRDefault="00F9038A" w:rsidP="00530A3D">
      <w:pPr>
        <w:keepNext/>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ustawowe umocowanie do realizacji zadań z zakresu doradztwa rolniczego oraz szkoleń dla rolników;</w:t>
      </w:r>
    </w:p>
    <w:p w14:paraId="025E561A" w14:textId="77777777" w:rsidR="00F9038A" w:rsidRPr="00C543E1" w:rsidRDefault="00F9038A" w:rsidP="00530A3D">
      <w:pPr>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potencjał kadrowy;</w:t>
      </w:r>
    </w:p>
    <w:p w14:paraId="7819E514" w14:textId="77777777" w:rsidR="00F9038A" w:rsidRPr="00C543E1" w:rsidRDefault="00F9038A" w:rsidP="00530A3D">
      <w:pPr>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doświadczenie w prowadzeniu działalności doradczej i szkoleniowej dla rolników;</w:t>
      </w:r>
    </w:p>
    <w:p w14:paraId="147634F8" w14:textId="77777777" w:rsidR="00F9038A" w:rsidRPr="00C543E1" w:rsidRDefault="00F9038A" w:rsidP="00530A3D">
      <w:pPr>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struktura organizacyjna zapewniająca we wszystkich województwach dostępność dla indywidualnego rolnika;</w:t>
      </w:r>
    </w:p>
    <w:p w14:paraId="15DACC83" w14:textId="77777777" w:rsidR="00F9038A" w:rsidRPr="00C543E1" w:rsidRDefault="00F9038A" w:rsidP="00530A3D">
      <w:pPr>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rozbudowana baza dydaktyczno-szkoleniowa;</w:t>
      </w:r>
    </w:p>
    <w:p w14:paraId="05E47CD5" w14:textId="77777777" w:rsidR="00F9038A" w:rsidRPr="00C543E1" w:rsidRDefault="00F9038A" w:rsidP="00530A3D">
      <w:pPr>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największy udział doradców wojewódzkich ośrodków doradztwa rolniczego na listach doradców prowadzonych przez CDR;</w:t>
      </w:r>
    </w:p>
    <w:p w14:paraId="2995B68C" w14:textId="77777777" w:rsidR="00F9038A" w:rsidRPr="00C543E1" w:rsidRDefault="00F9038A" w:rsidP="00530A3D">
      <w:pPr>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stabilność rynkowa;</w:t>
      </w:r>
    </w:p>
    <w:p w14:paraId="6F88D10E" w14:textId="77777777" w:rsidR="00F9038A" w:rsidRPr="00C543E1" w:rsidRDefault="00F9038A" w:rsidP="00530A3D">
      <w:pPr>
        <w:numPr>
          <w:ilvl w:val="0"/>
          <w:numId w:val="11"/>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umożliwienie realizacji usług doradczych oraz szkoleń dla rolników w terminach dostosowanych do terminów technologicznych i wynikających z przepisów.</w:t>
      </w:r>
    </w:p>
    <w:p w14:paraId="6EC8E8C4"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Dlatego w przypadku operacji w zakresie szkoleń podstawowych dla rolników, kompleksowych programów doradczych oraz podstawowych i uzupełniających szkoleń dla doradców rolniczych jedynie ww. podmioty są uprawnione do złożenia wniosku o przyznanie pomocy. </w:t>
      </w:r>
    </w:p>
    <w:p w14:paraId="2C968996" w14:textId="3BE3BD29"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proponowanymi regulacjami w przypadku interwencji, w ramach których pomoc będzie przyznawana na podstawie umowy, regulamin naboru wniosków o przyznanie pomocy będzie źródłem szczegółowych informacji na temat danego naboru i</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postępowania w sprawie o przyznanie pomocy. Regulamin będzie również dokumentem, w którym będzie wskazywany oraz opisywany sposób wyboru operacji. </w:t>
      </w:r>
    </w:p>
    <w:p w14:paraId="2629060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rozdziale wprowadzono wyjątek od określania w regulaminie naboru kwoty przeznaczonej na przyznanie pomocy na operacje w ramach danego naboru wniosków o przyznanie pomocy. </w:t>
      </w:r>
    </w:p>
    <w:p w14:paraId="0ED804E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przypadku interwencji w sektorze owoców i warzyw nie ma takiej możliwości, ponieważ operacja czyli zatwierdzony program operacyjny jest programem wieloletnim. Pomoc jest udzielana za każdy zrealizowany rok tego programu. Podstawą do kalkulacji co roku pomocy finansowej jest wartość produkcji sprzedanej danej organizacji producentów z 12-miesięcznego okresu referencyjnego, który jest okresem ruchomym, co powoduje że limit pomocy w każdym roku realizacji programu na etapie jego zatwierdzania nie będzie możliwy do określenia. </w:t>
      </w:r>
    </w:p>
    <w:p w14:paraId="104179D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Natomiast w przypadku interwencji Tworzenie i rozwój organizacji producentów i grup producentów rolnych pomoc przyznaje się na okres pomocy bez wskazania wysokości tego wsparcia, które uzależnione jest od przychodów osiąganych przez beneficjenta.</w:t>
      </w:r>
    </w:p>
    <w:p w14:paraId="3AEB4DF2"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Są określone maksymalne poziomy pomocy, które nie mogą zostać przekroczone, natomiast jest to wartość, która nie musi zostać osiągnięta przez beneficjenta, w związku z czym pomoc nie jest określana odgórnie na etapie jej przyznawania, tylko na etapie wypłaty środków.</w:t>
      </w:r>
    </w:p>
    <w:p w14:paraId="701A22E4"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Budżet interwencji będzie natomiast pomniejszany wraz z postępującą wypłatą środków finansowych dla beneficjenta. Szacując poziom wydatkowania środków na bazie dokonywanych wypłat i podpisanych umów o przyznaniu pomocy, ARiMR będzie określała, kiedy nie będzie możliwości ogłaszania kolejnych naborów o przyznanie pomocy. Potencjalny brak środków na nowe zobowiązania będzie zgłoszony z odpowiednim wyprzedzeniem, podobnie jak w dotychczasowych okresach programowania.</w:t>
      </w:r>
    </w:p>
    <w:p w14:paraId="35B966D6"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zawarto regulacje dotyczące zmiany regulaminu naboru wniosków o przyznanie pomocy. Zakładają one możliwość zmiany regulaminu naboru wniosków o przyznanie pomocy, z tym że w zakresie określenia limitu środków przeznaczonych na przyznanie pomocy na operacje w ramach danego naboru wniosków o przyznanie pomocy przesądzono, że zmiany mogą mieć miejsce wyłącznie w sytuacji, w której w ramach danego naboru żadnemu podmiotowi ubiegającemu się o przyznanie pomocy nie odmówiono przyznania pomocy z powodu wyczerpania limitu środków.</w:t>
      </w:r>
    </w:p>
    <w:p w14:paraId="24AAE9B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Wszelkie zmiany dokonane w regulaminie wraz z ich uzasadnieniem oraz terminem stosowania podmiot właściwy w sprawie o przyznanie pomocy udostępnia w taki sposób, w jaki udostępnił regulamin. </w:t>
      </w:r>
    </w:p>
    <w:p w14:paraId="4BD43638"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rozdziale zawarto również regulacje dotyczące możliwości uzupełniania lub poprawiania wniosku o przyznanie pomocy zgodnie z regulaminem naboru wniosków o przyznanie pomocy. Ponadto wprowadzono możliwość poprawiania z urzędu przez podmiot właściwy w sprawie o przyznanie pomocy oczywistych omyłek pisarskich lub rachunkowych, zobowiązując ten podmiot do informowania o tym podmiot ubiegający się o przyznanie pomocy.</w:t>
      </w:r>
    </w:p>
    <w:p w14:paraId="2730D30B"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Zawarto także regulacje gwarantujące informowanie podmiotu ubiegającego się o przyznanie pomocy przez podmiot właściwy w sprawie o przyznanie pomocy o wyniku oceny wniosku o przyznanie pomocy za pomocą systemu teleinformatycznego ARiMR oraz, tak jak miało to miejsce w poprzednich perspektywach finansowych, prawo wniesienia do sądu administracyjnego skargi w przypadku odmowy przyznania pomocy. Takie prawo </w:t>
      </w:r>
      <w:r w:rsidRPr="00C543E1">
        <w:rPr>
          <w:rFonts w:ascii="Times New Roman" w:eastAsia="Times New Roman" w:hAnsi="Times New Roman"/>
          <w:sz w:val="24"/>
          <w:szCs w:val="24"/>
          <w:lang w:eastAsia="pl-PL"/>
        </w:rPr>
        <w:lastRenderedPageBreak/>
        <w:t>przewidziano również w przypadku odmowy zawarcia umowy o przyznaniu pomocy w przypadku, gdy podmiot ubiegający się o przyznanie pomocy nie dokonał czynności, o których mowa w art. 86 ust. 4 pkt 11, został wykluczony z możliwości przyznania pomocy oraz jeżeli zachodzi obawa wyrządzenia szkody w mieniu publicznym w następstwie zawarcia umowy o przyznaniu pomocy.</w:t>
      </w:r>
    </w:p>
    <w:p w14:paraId="171D1887"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celu zagwarantowania przejrzystości procesu przyznawania pomocy podmiot właściwy w sprawie o przyznanie pomocy będzie zobowiązany do publikowania na swojej stronie internetowej informacji o operacjach wybranych do przyznania pomocy oraz o operacjach, na które odmówiono przyznania pomocy. Określono również, że podanie w tej informacji wysokości przyznanej kwoty pomocy nie dotyczy interwencji, w których nie ma możliwości określenia wysokości przyznanej kwoty pomocy, analogicznie, jak w przypadku określania w regulaminie kwoty przeznaczonej na przyznanie pomocy na operacje w ramach danego naboru. Przesądzono, tak jak to miało miejsce w PROW 2014–2020, że wyczerpnie środków w ramach limitu określonego na nabór nie stanowi przeszkody w przyznaniu pomocy na daną operację, jeżeli w wyniku uwzględnienia skargi na odmowę przyznania pomocy podmiot właściwy w sprawie o przyznanie ustali, że są spełnione pozostałe warunki przyznania pomocy, są spełnione w wystarczającym stopniu kryteria wyboru operacji oraz są dostępne środki w ramach budżetu danej interwencji lub województwa określone w Planie Strategicznym lub w wytycznych IZ.</w:t>
      </w:r>
    </w:p>
    <w:p w14:paraId="5242AA1D"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Określono, że umowę o przyznaniu pomocy podmiot właściwy w sprawie o przyznanie pomocy zawiera z podmiotem, którego operacja została wybrana. Ponadto wskazano przesłanki braku możliwości zawarcia umowy o przyznaniu pomocy. Należą do nich niedokonanie przez podmiot ubiegający się o przyznanie pomocy czynności określonych w regulaminie naboru oraz wykluczenie podmiotu ubiegającego się o przyznanie pomocy z możliwości przyznania pomocy.</w:t>
      </w:r>
    </w:p>
    <w:p w14:paraId="628507C7"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określono zawartość umowy o przyznaniu pomocy, biorąc pod uwagę specyfikę niektórych interwencji Planu Strategicznego oraz zobowiązanie ARiMR do opracowania formularza tej umowy.</w:t>
      </w:r>
    </w:p>
    <w:p w14:paraId="2488570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Określono wyjątek w odniesieniu do interwencji w sektorze owoców i warzyw oraz interwencji Tworzenie i rozwój organizacji producentów i grup producentów rolnych w zakresie warunków regulaminu konkursu oraz w zakresie postanowień umowy o przyznaniu pomocy. W przypadku tych interwencji nie ma możliwości określenia kwoty pomocy dla jednego beneficjenta. Jest określony na poziomie przepisów UE maksymalny limit wsparcia dla beneficjentów, natomiast </w:t>
      </w:r>
      <w:r w:rsidRPr="00C543E1">
        <w:rPr>
          <w:rFonts w:ascii="Times New Roman" w:eastAsia="Times New Roman" w:hAnsi="Times New Roman"/>
          <w:sz w:val="24"/>
          <w:szCs w:val="24"/>
          <w:lang w:eastAsia="pl-PL"/>
        </w:rPr>
        <w:lastRenderedPageBreak/>
        <w:t>wartość kwotowa przyszłego wsparcia nie jest możliwa do określenia na etapie ubiegania się o przyznanie pomocy i nie jest możliwe zawarcie informacji na temat wysokości wsparcia w umowie o przyznaniu pomocy, ponieważ wysokość tego wsparcia będzie zależała od przychodów, jakie będą osiągane przez beneficjentów w kolejnych latach wsparcia. Są więc określone maksymalne poziomy pomocy, które nie mogą zostać przekroczone, natomiast jest to wartość, która nie musi zostać osiągnięta przez beneficjenta, w związku z czym pomoc nie jest określana odgórnie na etapie jej przyznawania, a tylko na etapie wypłaty środków.</w:t>
      </w:r>
    </w:p>
    <w:p w14:paraId="1D806DEF"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Przewidziano możliwość unieważnienia naboru wniosków o przyznanie pomocy, jeżeli w terminie naboru nie złożono żadnego wniosku, wystąpiła okoliczność powodująca, że wybór operacji do przyznania pomocy nie leży w interesie publicznym, czego nie można było wcześniej przewidzieć, lub jeżeli postępowanie w sprawie o przyznanie pomocy obarczone jest niemożliwą do usunięcia wadą prawną.</w:t>
      </w:r>
    </w:p>
    <w:p w14:paraId="630625FD"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Odnośnie do operacji, w ramach których beneficjent zostaje wyłoniony zgodnie z przepisami ustawy Pzp, z dotychczasowych doświadczeń wynika, że tryb ten jest właściwy w operacjach, w ramach których jest trudno wskazać i oszacować ich wartość za pomocą kosztów uproszczonych na etapie przygotowywania ich założeń. Z tego względu w Planie Strategicznym założono, że może on dotyczyć operacji w zakresie transferu wiedzy w oparciu o demonstracje realizowanych w ramach interwencji Wsparcie gospodarstw demonstracyjnych.</w:t>
      </w:r>
    </w:p>
    <w:p w14:paraId="7DEC55A4"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Przy zastosowaniu tego trybu zakłada się, że pomoc będzie przyznawana beneficjentowi wyłonionemu zgodnie z przepisami ustawy Pzp, z wyłączeniem przepisów dotyczących umów w sprawach zamówień publicznych, z tym że umowa o przyznaniu pomocy w ramach tych operacji będzie zawierana zgodnie z art. 264, art. 308 ust. 2 i 3, art. 577 i art. 578 tej ustawy.</w:t>
      </w:r>
    </w:p>
    <w:p w14:paraId="6E9E62A5" w14:textId="2262D442"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Rozwiązanie takie zostało zastosowane w ramach działań „Transfer wiedzy i działalność informacyjna” oraz „Usługi doradcze, usługi z zakresu zarządzania gospodarstwem rolnym i</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usługi z zakresu zastępstw” objętych PROW 2014–2020 zgodnie z przepisami ustawy o PROW 2014–2020. W związku z czym rozwiązanie to nie jest nowe. </w:t>
      </w:r>
    </w:p>
    <w:p w14:paraId="4D3B4DB3" w14:textId="4116D576"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Projektowane przepisy mają przede wszystkim na względzie wprowadzenie rozliczania realizacji operacji na wzór rozwiązania zastosowanego w ramach ww. działań PROW 2014</w:t>
      </w:r>
      <w:r w:rsidRPr="00C543E1">
        <w:rPr>
          <w:rFonts w:ascii="Times New Roman" w:eastAsia="Times New Roman" w:hAnsi="Times New Roman"/>
          <w:sz w:val="24"/>
          <w:szCs w:val="24"/>
        </w:rPr>
        <w:t>–</w:t>
      </w:r>
      <w:r w:rsidRPr="00C543E1">
        <w:rPr>
          <w:rFonts w:ascii="Times New Roman" w:hAnsi="Times New Roman"/>
          <w:sz w:val="24"/>
          <w:szCs w:val="24"/>
        </w:rPr>
        <w:t xml:space="preserve">2020. Po przygotowaniu i rozstrzygnięciu zamówienia nastąpi podpisanie umowy z beneficjentem a następnie realizacja operacji i jej etapowe rozliczanie, przy czym proces rozliczania będzie dotyczył badania stopnia tej realizacji (do całkowitego jej zakończenia) </w:t>
      </w:r>
      <w:r w:rsidRPr="00C543E1">
        <w:rPr>
          <w:rFonts w:ascii="Times New Roman" w:hAnsi="Times New Roman"/>
          <w:sz w:val="24"/>
          <w:szCs w:val="24"/>
        </w:rPr>
        <w:lastRenderedPageBreak/>
        <w:t xml:space="preserve">przez weryfikację dokumentacji potwierdzającej realizację operacji zgodnie z zamówieniem publicznym. </w:t>
      </w:r>
    </w:p>
    <w:p w14:paraId="7720AC4F"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Przy zastosowaniu proponowanego rozwiązania beneficjenci wraz z wnioskiem o płatność będą przedstawiali dokumenty potwierdzające organizację i przeprowadzenie określonych działań, a wynagrodzenie beneficjentów będzie wypłacane zgodnie z umową zawartą między nimi a agencją płatniczą, zgodnie z trybem przyjętym w przepisach ustawy Pzp.</w:t>
      </w:r>
    </w:p>
    <w:p w14:paraId="3B7F3C33" w14:textId="56B2D2AD"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związku ze złożonym odwołaniem w ramach jednego z postępowań na wybór beneficjenta jednego z działań PROW 2014–2020 Krajowa Izba Odwoławcza w wyroku z dnia 10 listopada 2021 r. zakwestionowała podejście do określania warunków udziału w postępowaniu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jednoczesnym uwzględnieniem warunków przyznania pomoc wynikających z ustawy o PROW 2014–2020 i wskazała na potrzebę wyodrębnienia dwóch etapów procesu przyznawania pomocy, tj.:</w:t>
      </w:r>
    </w:p>
    <w:p w14:paraId="1B3540C7" w14:textId="77777777" w:rsidR="00F9038A" w:rsidRPr="00C543E1" w:rsidRDefault="00F9038A" w:rsidP="00530A3D">
      <w:pPr>
        <w:numPr>
          <w:ilvl w:val="0"/>
          <w:numId w:val="9"/>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przeprowadzenia najpierw wyboru najkorzystniejszej oferty zgodnie z ustawą Pzp;</w:t>
      </w:r>
    </w:p>
    <w:p w14:paraId="6502DA5F" w14:textId="156A30F3" w:rsidR="00F9038A" w:rsidRPr="00C543E1" w:rsidRDefault="00F9038A" w:rsidP="00530A3D">
      <w:pPr>
        <w:numPr>
          <w:ilvl w:val="0"/>
          <w:numId w:val="9"/>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następnie sprawdzenia spełnienia przez podmiot, którego oferta została wybrana jako najkorzystniejsza, warunków przyznania pomocy określonych w ustawie o PROW 2014–2020, których nie można zastosować na etapie prowadzonego postępowania o udzielenie zamówienia publicznego.</w:t>
      </w:r>
    </w:p>
    <w:p w14:paraId="398064AD"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Dlatego też konieczne jest określenie podstaw prawnych, które umożliwią agencji płatniczej weryfikację (na etapie przed zawarciem umowy o przyznaniu pomocy) spełniania przez podmiot, którego oferta zostanie wybrana jako najkorzystniejsza zgodnie z przepisami ustawy Pzp, warunków przyznania pomocy określonych dla beneficjenta wynikających z przepisów UE, projektowanej ustawy oraz wytycznych dla interwencji. </w:t>
      </w:r>
    </w:p>
    <w:p w14:paraId="0DA3057C" w14:textId="1E1D4A82"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aby w ramach ww. postępowania o udzielenie zamówienia publicznego w celu wyłonienia beneficjenta w ogłoszeniu o zamówieniu publicznym lub w dokumentach zamówienia publicznego (w szczególności w specyfikacji warunków zamówienia) agencja płatnicza każdorazowo wskazywała warunki przyznania pomocy, które musi spełnić oferent przed zawarciem umowy, oraz sposób wykazania ich spełnienia. Jeżeli warunki te nie zostaną spełnione (nie zostaną wykazane przez oferenta), pomoc nie zostanie przyznana. Podkreślenia przy tym wymaga, że warunki te dotyczyć będą jedynie warunków przyznania pomocy wynikających z powyższych przepisów. Rozwiązanie to ma na celu z jednej strony uczynienie zadość podstawowej zasadzie, że pomoc może być przyznana jedynie podmiotowi, który spełnia warunki przyznania pomocy określone w przepisach prawa, z drugiej natomiast – że</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lastRenderedPageBreak/>
        <w:t>beneficjenta wyłania się zgodnie z przepisami ustawy Pzp. Wskazywanie bowiem warunków przyznania pomocy określonych dla beneficjenta pomocy wynikających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przepisów UE, projektowanej ustawy oraz wytycznych jako warunków udziału w postępowaniu o udzielenie zamówienia publicznego może ponownie budzić wątpliwości Krajowej Izby Odwoławczej.</w:t>
      </w:r>
    </w:p>
    <w:p w14:paraId="4216283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Projektowane rozwiązanie przewiduje, że podmiot, którego oferta została wybrana jako najkorzystniejsza, będzie wzywany przez agencję płatniczą do wykazania spełnienia warunków przyznania tej pomocy w terminie 14 dni od dnia doręczenia wezwania. Jeżeli na to wezwanie ten podmiot nie wykaże spełnienia warunków przyznania pomocy, przewiduje się ponowne wezwanie go przez agencję płatniczą do wykazania spełnienia tych warunków w terminie 7 dni od dnia doręczenia wezwania.</w:t>
      </w:r>
    </w:p>
    <w:p w14:paraId="6711620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przypadku braku wykazania spełniania warunków przyznania pomocy przez podmiot, którego oferta została wybrana jako najkorzystniejsza, wprowadza się regulację, która pozwoli agencji płatniczej na odmowę przyznania pomocy.</w:t>
      </w:r>
    </w:p>
    <w:p w14:paraId="20E997A8"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Dodatkowo oprócz odmowy przyznania pomocy agencja płatnicza będzie uprawniona do zatrzymania wadium (wniesionego w postępowaniu o udzielenie zamówienia publicznego) z odsetkami, a w przypadku wadium wniesionego w formie gwarancji lub poręczenia – do wystąpienia odpowiednio do gwaranta lub poręczyciela z żądaniem zapłaty wadium. Projektowany przepis w tym zakresie będzie zatem stanowić dodatkową przesłankę zatrzymania wadium za niespełnienie warunków przyznania pomocy, odrębną od przesłanek określonych w ustawie Pzp (w tym zakresie przepisy te będą miały charakter szczególny w stosunku do przepisów ustawy Pzp). Należy dodatkowo zauważyć, że wskazanie w przepisie przejściowym na możliwość wymagania wniesienia wadium jest adekwatne do art. 97 ust. 1 ustawy Pzp, z którego wynika, że zamawiający może żądać od wykonawców wniesienia wadium. Ustawodawca zdecydował, aby wprowadzenie takiego wymogu było wyłączną decyzją zamawiającego, bez względu na to, według których przepisów ustawy jest prowadzone postępowanie.</w:t>
      </w:r>
    </w:p>
    <w:p w14:paraId="3C6BD2F6"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Jednocześnie proponowane rozwiązanie ma na celu umożliwienie agencji płatniczej przeprowadzenie ponownego badania i oceny ofert pozostałych wykonawców w postępowaniu, wyboru oferty najkorzystniejszej albo unieważnienia postępowania (rozwiązanie analogiczne do art. 263 ustawy Pzp).</w:t>
      </w:r>
    </w:p>
    <w:p w14:paraId="0F88F36C" w14:textId="137E72C2"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Ponadto wskazuje się, że w przypadku odmowy przyznania pomocy oferentowi będzie przysługiwała skarga do sądu administracyjnego na zasadach i w trybie określonych dla aktów </w:t>
      </w:r>
      <w:r w:rsidRPr="00C543E1">
        <w:rPr>
          <w:rFonts w:ascii="Times New Roman" w:eastAsia="Times New Roman" w:hAnsi="Times New Roman"/>
          <w:sz w:val="24"/>
          <w:szCs w:val="24"/>
          <w:lang w:eastAsia="pl-PL"/>
        </w:rPr>
        <w:lastRenderedPageBreak/>
        <w:t>lub czynności, o których mowa w art. 3 § 2 pkt 4 ustawy z dnia 30 sierpnia 2002 r. – Prawo 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postępowaniu przed sądami administracyjnymi (Dz. U. z 2022 r. poz. 329, z późn. zm.). Przewidziana w tych przepisach procedura skargowa nie dotyczy odwołań od decyzji IZ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obszarze zamówień publicznych, a jedynie kontroli przez sąd administracyjny zasadności odmowy przyznania pomocy udzielonej na podstawie przepisów projektowanej ustawy.</w:t>
      </w:r>
    </w:p>
    <w:p w14:paraId="13EF37BA" w14:textId="1496FDEC"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Dodatkowo zaproponowano przepisy, które mają na celu uregulowanie trybu postępowania i</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terminów w przypadku wniesienia skargi do sądu administracyjnego przez podmiot, którego oferta została wybrana jako najkorzystniejsza, a który otrzymał informację o odmowie przyznania pomocy z powodu niespełnienia warunków przyznania pomocy.</w:t>
      </w:r>
    </w:p>
    <w:p w14:paraId="5B39849B" w14:textId="0E05EC7D"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Wskazano na możliwość zawarcia umowy o przyznaniu pomocy z kolejnym wyłonionym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postępowaniu o udzielenie zamówienia publicznego wykonawcą przed wydaniem przez sąd administracyjny prawomocnego orzeczenia oraz określono, kiedy agencja płatnicza będzie mogła skorzystać z takiej możliwości. Przesłanka umożliwiająca zawarcie umowy 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przyznaniu pomocy z kolejnym wyłonionym w postępowaniu o udzielenie zamówienia publicznego wykonawcą, przed wydaniem przez sąd administracyjny prawomocnego orzeczenia, zaistnieje, gdy zostanie stwierdzone ryzyko, że niezawarcie umowy o przyznaniu pomocy przed wydaniem przez sąd administracyjny prawomocnego orzeczenia mogłoby spowodować negatywne skutki dla terminowego wydatkowania środków finansowych przeznaczonych na realizację operacji. </w:t>
      </w:r>
    </w:p>
    <w:p w14:paraId="48A1045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Określono, że w przypadku zawarcia umowy o przyznaniu pomocy z kolejnym wyłonionym w postępowaniu o udzielenie zamówienia publicznego wykonawcą, przed wydaniem przez sąd administracyjny ww. prawomocnego orzeczenia, agencja płatnicza niezwłocznie przekaże sądowi administracyjnemu, do którego została wniesiona skarga, informację o zawarciu umowy o przyznaniu pomocy. Celem takiego rozwiązania jest poinformowanie sądu administracyjnego o okoliczności, która może okazać się kluczowa i niezbędna do wydania przez ten sąd orzeczenia.</w:t>
      </w:r>
    </w:p>
    <w:p w14:paraId="642FD212" w14:textId="30055CE1"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Jeżeli umowa o przyznaniu pomocy z kolejnym wykonawcą zostanie zawarta przed wydaniem prawomocnego orzeczenia, wskazano, że uwzględniając skargę sąd administracyjny stwierdza tylko, że ocena spełnienia warunków przyznania pomocy została przeprowadzona w sposób naruszający prawo. Celem tego przepisu jest zatem, aby w omawianym przypadku uwzględnienie skargi nie skutkowało uchyleniem zaskarżonego aktu o odmowie przyznania pomocy, a jedynie stwierdzeniem, że ocena spełnienia warunków przyznania pomocy została </w:t>
      </w:r>
      <w:r w:rsidRPr="00C543E1">
        <w:rPr>
          <w:rFonts w:ascii="Times New Roman" w:eastAsia="Times New Roman" w:hAnsi="Times New Roman"/>
          <w:sz w:val="24"/>
          <w:szCs w:val="24"/>
          <w:lang w:eastAsia="pl-PL"/>
        </w:rPr>
        <w:lastRenderedPageBreak/>
        <w:t>przeprowadzona w sposób naruszający prawo. Dopuszczenie w takiej sytuacji możliwości wydania orzeczenia uchylającego odmowę przyznania pomocy należy uznać za</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niezasadne, skoro umowa o przyznaniu pomocy została już zawarta z innym wykonawcą niż</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ten, który złożył skargę, a zatem nie będzie możliwe zawarcie takiej umowy ze skarżącym.</w:t>
      </w:r>
    </w:p>
    <w:p w14:paraId="199AE84A"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powyższym zakresie wprowadzono skrócone do 30 dni terminy rozpatrywania przez sądy administracyjne skargi i skargi kasacyjnej. Przy przyjęciu takiego rozwiązania podmiotowi, którego oferta została wybrana jako najkorzystniejsza, a który otrzymał informację o odmowie przyznania pomocy z powodu niespełnienia warunków przyznania pomocy, będzie przysługiwać roszczenie o odszkodowanie na zasadach ogólnych. </w:t>
      </w:r>
    </w:p>
    <w:p w14:paraId="66CE1A0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Zaproponowane regulacje mają na celu przyspieszenie rozpatrywania spraw dotyczących przyznania pomocy. Takie rozwiązanie jest uzasadnione w związku z koniecznością wyeliminowania niepewności co do tego, czy podnoszone przez beneficjenta zarzuty są słuszne i mają również na celu to, aby można było sprawnie i szybko wydatkować środki przeznaczone w ramach Planu Strategicznego, gdyż w innym przypadku zbyt długie rozpatrywanie skarg może spowodować zatrzymanie wdrażania interwencji, a w konsekwencji brak wydatkowania środków finansowych z Planu Strategicznego. </w:t>
      </w:r>
    </w:p>
    <w:p w14:paraId="0BC857E8"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rozdziale określono, że przyznana pomoc jest wypłacana na wniosek o płatność, a beneficjenci mogą otrzymać zaliczkę na realizację operacji w ramach interwencji, o których mowa w art. 73 i art. 77 rozporządzenia 2021/2115, jeżeli przewiduje to umowa o przyznaniu pomocy.</w:t>
      </w:r>
    </w:p>
    <w:p w14:paraId="1FE113F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zaproponowano wymagania dotyczące wniosku o płatność, uwzględniając specyfikę poszczególnych interwencji, w tym formę przyznawania pomocy. Zgodnie z nimi złożenie dokumentów w zakresie poniesienia kosztów związanych z realizacją operacji dotyczy jedynie refundacji.</w:t>
      </w:r>
    </w:p>
    <w:p w14:paraId="18C76C1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celu zapewnienia skutecznej ochrony interesów finansowych UE proponuje się zgodnie z art. 59 ust. 1 rozporządzenia 2021/2116 przepisy określające podstawy wykluczenia beneficjantów z możliwości przyznania pomocy. Zgodnie z nowym modelem wdrażania WPR akty prawne UE, co do zasady, nie zawierają już tak szczegółowych przepisów odnoszących się do beneficjentów, jak zawierały w ramach poprzednich perspektyw finansowych. Zgodnie z przepisami ww. artykułu przepisy przyjmowane przez państwa członkowskie i podejmowane środki odnoszą się w szczególności do:</w:t>
      </w:r>
    </w:p>
    <w:p w14:paraId="358A1F72" w14:textId="77777777" w:rsidR="00F9038A" w:rsidRPr="00C543E1" w:rsidRDefault="00F9038A" w:rsidP="00530A3D">
      <w:pPr>
        <w:numPr>
          <w:ilvl w:val="0"/>
          <w:numId w:val="12"/>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zapewnienia skutecznego zapobiegania nadużyciom finansowym, w szczególności w obszarach o podwyższonym poziomie ryzyka, co będzie działało odstraszająco, z uwzględnieniem kosztów i korzyści oraz proporcjonalności takich środków;</w:t>
      </w:r>
    </w:p>
    <w:p w14:paraId="0EE52CA3" w14:textId="77777777" w:rsidR="00F9038A" w:rsidRPr="00C543E1" w:rsidRDefault="00F9038A" w:rsidP="00530A3D">
      <w:pPr>
        <w:numPr>
          <w:ilvl w:val="0"/>
          <w:numId w:val="12"/>
        </w:numPr>
        <w:autoSpaceDE w:val="0"/>
        <w:autoSpaceDN w:val="0"/>
        <w:adjustRightInd w:val="0"/>
        <w:spacing w:after="0" w:line="360" w:lineRule="auto"/>
        <w:ind w:left="510" w:hanging="510"/>
        <w:contextualSpacing/>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nakładania skutecznych, proporcjonalnych oraz odstraszających kar zgodnie z prawem Unii, a w przypadku braku stosownych przepisów – zgodnie z prawem krajowym oraz, w razie konieczności, wszczynania w tym celu postępowań sądowych.</w:t>
      </w:r>
    </w:p>
    <w:p w14:paraId="08EE22FD"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Zaproponowane regulacje w zakresie wykluczenia beneficjentów z możliwości otrzymania pomocy wynikają więc z jednej strony z braku w przepisach UE dotyczących Planu Strategicznego przepisów odpowiadających przepisom art. 35 ust. 5 i 6 rozporządzenia delegowanego Komisji (UE) nr 640/2014 z dnia 11 marca 2014 r. uzupełniającego rozporządzenie Parlamentu Europejskiego i Rady (UE) nr 1306/2013 w odniesieniu do zintegrowanego systemu zarządzania i kontroli oraz warunków odmowy lub wycofania płatności oraz do kar administracyjnych mających zastosowanie do płatności bezpośrednich, wsparcia rozwoju obszarów wiejskich oraz zasady wzajemnej zgodności (Dz. Urz. UE L 181 z 20.06.2014, str. 48, z późn. zm.), a z drugiej strony z konieczności określenia odpowiednich zasad w przepisach krajowych. Proponowane brzmienie zostało oparte zarówno na dotychczasowych przepisach, a zwłaszcza art. 207 ustawy z dnia 27 sierpnia 2009 r. o finansach publicznych. Jednocześnie doprecyzowano, że beneficjenta nie wyklucza się z możliwości otrzymania pomocy, w przypadku gdy doszło do potrącenia w całości kwoty podlegającej zwrotowi.</w:t>
      </w:r>
    </w:p>
    <w:p w14:paraId="32C0F91C"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6. Kontrola (art. 100–106)</w:t>
      </w:r>
    </w:p>
    <w:p w14:paraId="30217FAA" w14:textId="1ED38F0E"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Zgodnie z art. 59 ust. 2 rozporządzenia 2021/2116 państwa członkowskie są zobowiązane ustanowić skuteczne systemy zarządzania i kontroli w celu zapewnienia zgodności z</w:t>
      </w:r>
      <w:r w:rsidR="00094E11">
        <w:rPr>
          <w:rFonts w:ascii="Times New Roman" w:hAnsi="Times New Roman"/>
          <w:sz w:val="24"/>
          <w:szCs w:val="24"/>
        </w:rPr>
        <w:t xml:space="preserve"> </w:t>
      </w:r>
      <w:r w:rsidRPr="00C543E1">
        <w:rPr>
          <w:rFonts w:ascii="Times New Roman" w:hAnsi="Times New Roman"/>
          <w:sz w:val="24"/>
          <w:szCs w:val="24"/>
        </w:rPr>
        <w:t>prawodawstwem Unii regulującym interwencje unijne i podjąć w tym celu działania niezbędne do zapewnienia prawidłowego funkcjonowania swoich systemów zarządzania i</w:t>
      </w:r>
      <w:r w:rsidR="00094E11">
        <w:rPr>
          <w:rFonts w:ascii="Times New Roman" w:hAnsi="Times New Roman"/>
          <w:sz w:val="24"/>
          <w:szCs w:val="24"/>
        </w:rPr>
        <w:t xml:space="preserve"> </w:t>
      </w:r>
      <w:r w:rsidRPr="00C543E1">
        <w:rPr>
          <w:rFonts w:ascii="Times New Roman" w:hAnsi="Times New Roman"/>
          <w:sz w:val="24"/>
          <w:szCs w:val="24"/>
        </w:rPr>
        <w:t>kontroli oraz legalności i prawidłowości wydatków zadeklarowanych Komisji.</w:t>
      </w:r>
    </w:p>
    <w:p w14:paraId="102B6418"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Z tego względu w tym rozdziale określono system kontroli administracyjnych oraz kontroli na miejscu. Przewidziano możliwość przeprowadzania kontroli administracyjnych i kontroli na miejscu w zakresie:</w:t>
      </w:r>
    </w:p>
    <w:p w14:paraId="6BAB9D32" w14:textId="77777777" w:rsidR="00F9038A" w:rsidRPr="00C543E1" w:rsidRDefault="00F9038A" w:rsidP="00530A3D">
      <w:pPr>
        <w:numPr>
          <w:ilvl w:val="0"/>
          <w:numId w:val="10"/>
        </w:numPr>
        <w:autoSpaceDE w:val="0"/>
        <w:autoSpaceDN w:val="0"/>
        <w:adjustRightInd w:val="0"/>
        <w:spacing w:after="0" w:line="360" w:lineRule="auto"/>
        <w:ind w:left="510" w:hanging="510"/>
        <w:jc w:val="both"/>
        <w:rPr>
          <w:rFonts w:ascii="Times New Roman" w:hAnsi="Times New Roman"/>
          <w:sz w:val="24"/>
          <w:szCs w:val="24"/>
        </w:rPr>
      </w:pPr>
      <w:r w:rsidRPr="00C543E1">
        <w:rPr>
          <w:rFonts w:ascii="Times New Roman" w:hAnsi="Times New Roman"/>
          <w:sz w:val="24"/>
          <w:szCs w:val="24"/>
        </w:rPr>
        <w:t>przestrzegania przepisów prawa powszechnie obowiązującego, w tym przepisów dotyczących udzielania zamówień publicznych;</w:t>
      </w:r>
    </w:p>
    <w:p w14:paraId="31BA7503" w14:textId="77777777" w:rsidR="00F9038A" w:rsidRPr="00C543E1" w:rsidRDefault="00F9038A" w:rsidP="00530A3D">
      <w:pPr>
        <w:numPr>
          <w:ilvl w:val="0"/>
          <w:numId w:val="10"/>
        </w:numPr>
        <w:autoSpaceDE w:val="0"/>
        <w:autoSpaceDN w:val="0"/>
        <w:adjustRightInd w:val="0"/>
        <w:spacing w:after="0" w:line="360" w:lineRule="auto"/>
        <w:ind w:left="510" w:hanging="510"/>
        <w:jc w:val="both"/>
        <w:rPr>
          <w:rFonts w:ascii="Times New Roman" w:hAnsi="Times New Roman"/>
          <w:sz w:val="24"/>
          <w:szCs w:val="24"/>
        </w:rPr>
      </w:pPr>
      <w:r w:rsidRPr="00C543E1">
        <w:rPr>
          <w:rFonts w:ascii="Times New Roman" w:hAnsi="Times New Roman"/>
          <w:sz w:val="24"/>
          <w:szCs w:val="24"/>
        </w:rPr>
        <w:lastRenderedPageBreak/>
        <w:t>spełniania warunków przyznania i wypłaty pomocy i pomocy technicznej oraz zobowiązań związanych z przyznaną pomocą i pomocą techniczną określonych w postanowieniach Planu Strategicznego, wytycznych IZ, regulaminie naboru wniosków o przyznanie pomocy oraz umowie o przyznaniu pomocy i pomocy technicznej albo decyzji o przyznaniu pomocy;</w:t>
      </w:r>
    </w:p>
    <w:p w14:paraId="5927B2A7" w14:textId="77777777" w:rsidR="00F9038A" w:rsidRPr="00C543E1" w:rsidRDefault="00F9038A" w:rsidP="00530A3D">
      <w:pPr>
        <w:numPr>
          <w:ilvl w:val="0"/>
          <w:numId w:val="10"/>
        </w:numPr>
        <w:autoSpaceDE w:val="0"/>
        <w:autoSpaceDN w:val="0"/>
        <w:adjustRightInd w:val="0"/>
        <w:spacing w:after="0" w:line="360" w:lineRule="auto"/>
        <w:ind w:left="510" w:hanging="510"/>
        <w:jc w:val="both"/>
        <w:rPr>
          <w:rFonts w:ascii="Times New Roman" w:hAnsi="Times New Roman"/>
          <w:sz w:val="24"/>
          <w:szCs w:val="24"/>
        </w:rPr>
      </w:pPr>
      <w:r w:rsidRPr="00C543E1">
        <w:rPr>
          <w:rFonts w:ascii="Times New Roman" w:hAnsi="Times New Roman"/>
          <w:sz w:val="24"/>
          <w:szCs w:val="24"/>
        </w:rPr>
        <w:t>przestrzegania norm lub wymogów podstawowych, zgodnie z art. 83 ust. 6 lit. b rozporządzenia 2021/2116.</w:t>
      </w:r>
    </w:p>
    <w:p w14:paraId="62FDA435"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projektowanych przepisach określono zakres ww. kontroli. </w:t>
      </w:r>
    </w:p>
    <w:p w14:paraId="3791628A"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W przypadku kontroli przestrzegania wymogów podstawowych, wskazanych w załączniku III do rozporządzenia 2021/2115 kontrole będą przeprowadzane przez powiatowego lekarza weterynarii. W tym celu w upoważnieniu do wydania rozporządzenia przez ministra właściwego do spraw rozwoju wsi przewiduje się określenie ww. wymogów, do których kontroli jest właściwy powiatowy lekarz weterynarii, oraz rodzaj przeprowadzanych kontroli, mając na uwadze zapewnienie prawidłowego przeprowadzania tych kontroli. </w:t>
      </w:r>
    </w:p>
    <w:p w14:paraId="5F7E277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Mając na względzie jednolitość rozwiązań obowiązujących w zakresie kontroli na miejscu, proponuje się, aby kontrole realizowane zarówno przez agencję płatniczą, podmioty wdrażające, powiatowego lekarza weterynarii oraz instytucję zarządzającą były przeprowadzane w trybie i na zasadach określonych w projektowanej ustawie. Zakłada się również możliwość przeprowadzenia kontroli przez instytucję zarządzającą.</w:t>
      </w:r>
    </w:p>
    <w:p w14:paraId="05BBF5B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Zdefiniowano także podstawowe prawa osób upoważnionych do przeprowadzania czynności kontrolnych, określono wymogi odnośnie do samego upoważnienia do wykonywania tych czynności kontrolnych. Proponuje się, aby osoba upoważniona przed przystąpieniem do wykonywania czynności kontrolnych była obowiązana okazać imienne upoważnienie. Czynności kontrolne mogą być wykonywane podczas nieobecności podmiotu kontrolowanego także wówczas, gdy został on powiadomiony o kontroli. </w:t>
      </w:r>
    </w:p>
    <w:p w14:paraId="16CD4066" w14:textId="77777777" w:rsidR="00F9038A" w:rsidRPr="00530A3D"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530A3D">
        <w:rPr>
          <w:rFonts w:ascii="Times New Roman" w:eastAsia="Times New Roman" w:hAnsi="Times New Roman"/>
          <w:sz w:val="24"/>
          <w:szCs w:val="24"/>
          <w:lang w:eastAsia="pl-PL"/>
        </w:rPr>
        <w:t>Czynności kontrolne mogą być zapowiedziane, pod warunkiem, że nie koliduje to z ich celem lub skutecznością. Zapowiedzenie kontroli następuje z wyprzedzeniem ściśle ograniczonym do niezbędnego minimum i nie przekracza 14 dni. W przypadku kontroli na miejscu odnoszących się do zwierząt zapowiedzenie nie przekracza 48 godzin.</w:t>
      </w:r>
    </w:p>
    <w:p w14:paraId="5B2C4C44"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eastAsia="Times New Roman" w:hAnsi="Times New Roman"/>
          <w:sz w:val="24"/>
          <w:szCs w:val="24"/>
        </w:rPr>
        <w:t>Z</w:t>
      </w:r>
      <w:r w:rsidRPr="00C543E1">
        <w:rPr>
          <w:rFonts w:ascii="Times New Roman" w:hAnsi="Times New Roman"/>
          <w:sz w:val="24"/>
          <w:szCs w:val="24"/>
        </w:rPr>
        <w:t xml:space="preserve">e względu na dotychczasowe doświadczenia przepisy w tym zakresie zostały, co do zasady, utrzymane. W związku z tym, że w ramach WPR 2023–2027 to państwo członkowskie jest </w:t>
      </w:r>
      <w:r w:rsidRPr="00C543E1">
        <w:rPr>
          <w:rFonts w:ascii="Times New Roman" w:hAnsi="Times New Roman"/>
          <w:sz w:val="24"/>
          <w:szCs w:val="24"/>
        </w:rPr>
        <w:lastRenderedPageBreak/>
        <w:t>odpowiedzialne za ustanowienie systemu kontroli, przyjęto rozwiązania sprawdzone i zalecane do tej pory przez KE.</w:t>
      </w:r>
    </w:p>
    <w:p w14:paraId="4D76A3E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Osoby upoważnione do wykonywania czynności kontrolnych mają prawo do wstępu na grunty i do obiektów związanych z działalnością, której dotyczy pomoc albo pomoc techniczna, dostępu do zwierząt, pobierania próbek do badań, żądania pisemnych lub ustnych informacji związanych z przedmiotem kontroli, wglądu do dokumentów związanych z przedmiotem kontroli, sporządzania z nich odpisów, wyciągów lub kopii oraz zabezpieczania tych dokumentów i żądania okazywania i udostępniania danych informatycznych.</w:t>
      </w:r>
    </w:p>
    <w:p w14:paraId="5B7B58B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Przewidziano możliwość przeprowadzania kontroli u osób trzecich, określono zakres kontroli u tych osób oraz wskazano, że stosuje się do nich takie same zasady, jak do innych kontrolowanych podmiotów.</w:t>
      </w:r>
    </w:p>
    <w:p w14:paraId="260674D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Ponadto w przypadku, gdy podmiot ubiegający się o przyznanie pomocy albo beneficjent uniemożliwił przeprowadzenie kontroli na miejscu, z wyjątkiem przypadków siły wyższej lub nadzwyczajnych okoliczności, pomoc, której dotyczy kontrola na miejscu, nie przysługuje odpowiednio temu podmiotowi albo beneficjentowi, a w przypadku gdy kontrola na miejscu dotyczy którejkolwiek pomocy, o której mowa w art. 20 pkt 1–4 projektu, nie przysługuje żadna pomoc, o której mowa w art. 20 pkt 1–4.</w:t>
      </w:r>
    </w:p>
    <w:p w14:paraId="60BD1D37"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Określono również zawartość raportu z kontroli, tryb jego sporządzania oraz uprawnienia podmiotu kontrolowanego w zakresie możliwości zgłaszania zastrzeżeń do tego raportu.</w:t>
      </w:r>
    </w:p>
    <w:p w14:paraId="5216C143"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Raport z kontroli zawiera elementy enumeratywnie wyliczone w projektowanych przepisach. Regulacje w tym zakresie są powtórzeniem regulacji dotychczas obowiązujących.</w:t>
      </w:r>
    </w:p>
    <w:p w14:paraId="4E0111F6"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W stosunku do poprzednich przepisów zmieniono sposób komunikacji z rolnikiem (odejście od korespondencji papierowej). Raport będzie przesyłany do podmiotu kontrolowanego za pomocą systemu teleinformatycznego ARiMR w sposób określony przepisach o ARiMR. Również za pomocą systemu teleinformatycznego ARiMR podmiot kontrolowany otrzyma stanowisko do zgłoszonych zastrzeżeń. W odniesieniu do działań objętych Zintegrowanym Systemem Zarządzania i Kontroli korespondencja elektroniczna będzie prowadzona jedynie wówczas, gdy podmiot kontrolowany wyrazi na to zgodę.</w:t>
      </w:r>
    </w:p>
    <w:p w14:paraId="1A1AF66B"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Ponadto w projektowanych przepisach określono, że czynności kontrolne w ramach kontroli na miejscu przeprowadzanej przez powiatowego lekarza weterynarii są wykonywane przez osoby posiadające imienne upoważnienie wydane przez powiatowego lekarza weterynarii. </w:t>
      </w:r>
      <w:r w:rsidRPr="00C543E1">
        <w:rPr>
          <w:rFonts w:ascii="Times New Roman" w:hAnsi="Times New Roman"/>
          <w:sz w:val="24"/>
          <w:szCs w:val="24"/>
        </w:rPr>
        <w:lastRenderedPageBreak/>
        <w:t>Upoważnienie będzie zawierać wskazanie osoby upoważnionej do wykonywania czynności kontrolnych, miejsca i zakresu oraz podstawy prawnej do ich wykonywania. Jeżeli istnieje konieczność wykonania czynności kontrolnych w ramach kontroli administracyjnych i na miejscu poza obszarem właściwości powiatowego lekarza weterynarii (właściwego ze względu na miejsce zamieszkania albo siedzibę rolnika), lekarz ten upoważnia do wykonania tych czynności powiatowego lekarza weterynarii właściwego ze względu na położenie siedziby stada w rozumieniu przepisów ustawy z dnia 4 listopada 2022 r. o systemie identyfikacji i rejestracji zwierząt. We wskazanym przypadku powiatowy lekarz weterynarii właściwy ze względu na położenie siedziby stada wykonuje czynności kontrolne na podstawie upoważnienia, sporządza protokół z wykonania czynności kontrolnych i niezwłocznie przekazuje go powiatowemu lekarzowi weterynarii właściwemu ze względu na miejsce zamieszkania albo siedzibę rolnika. Zakres protokołu został określony w przepisach projektowanej ustawy. Wskazano również, że do kontroli przeprowadzanych przez powiatowego lekarza weterynarii mają</w:t>
      </w:r>
      <w:r w:rsidRPr="00530A3D">
        <w:rPr>
          <w:rFonts w:ascii="Times New Roman" w:hAnsi="Times New Roman"/>
          <w:sz w:val="24"/>
          <w:szCs w:val="24"/>
        </w:rPr>
        <w:t xml:space="preserve"> </w:t>
      </w:r>
      <w:r w:rsidRPr="00C543E1">
        <w:rPr>
          <w:rFonts w:ascii="Times New Roman" w:hAnsi="Times New Roman"/>
          <w:sz w:val="24"/>
          <w:szCs w:val="24"/>
        </w:rPr>
        <w:t>odpowiednie zastosowanie przepisy art. 103 ust. 3–9 i art. 104 ust. 2.</w:t>
      </w:r>
    </w:p>
    <w:p w14:paraId="176C1781"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 xml:space="preserve">Raport z kontroli przeprowadzonej przez powiatowego lekarza weterynarii jest przekazywany do kierownika biura powiatowego ARiMR, do którego został złożony wniosek o przyznanie pomocy. Analogicznie jak w obecnym okresie programowania, jeżeli podmiot kontrolowany nie zgadza się z ustaleniami zawartymi w raporcie, to może zgłosić zastrzeżenia w terminie przewidzianym w projektowanej ustawie, w której określono również sposób postępowania w takim przypadku. </w:t>
      </w:r>
    </w:p>
    <w:p w14:paraId="28CE5EEC" w14:textId="77777777" w:rsidR="00F9038A" w:rsidRPr="00C543E1" w:rsidRDefault="00F9038A">
      <w:pPr>
        <w:autoSpaceDE w:val="0"/>
        <w:autoSpaceDN w:val="0"/>
        <w:adjustRightInd w:val="0"/>
        <w:spacing w:before="120" w:after="0" w:line="360" w:lineRule="auto"/>
        <w:jc w:val="both"/>
        <w:rPr>
          <w:rFonts w:ascii="Times New Roman" w:hAnsi="Times New Roman"/>
          <w:sz w:val="24"/>
          <w:szCs w:val="24"/>
        </w:rPr>
      </w:pPr>
      <w:r w:rsidRPr="00C543E1">
        <w:rPr>
          <w:rFonts w:ascii="Times New Roman" w:hAnsi="Times New Roman"/>
          <w:sz w:val="24"/>
          <w:szCs w:val="24"/>
        </w:rPr>
        <w:t>Przewidziano możliwość powierzenia przeprowadzenia kontroli na miejscu innym jednostkom organizacyjnym, pod warunkiem, że dysponują one odpowiednimi warunkami organizacyjnymi, kadrowymi i technicznymi do przeprowadzenia kontroli na miejscu.</w:t>
      </w:r>
    </w:p>
    <w:p w14:paraId="101C39E9"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7. Instrumenty finansowe (art. 107–110)</w:t>
      </w:r>
    </w:p>
    <w:p w14:paraId="25E65FA3"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Podstawowym celem przepisów zaproponowanych w tym rozdziale jest stworzenie instytucjonalnych ram prawnych systemu wdrażania instrumentów finansowych, biorąc pod uwagę, że przepisy UE w tym zakresie są wspólne dla wszystkich funduszy i nie uwzględniają specyfiki EFRROW.</w:t>
      </w:r>
    </w:p>
    <w:p w14:paraId="11EFA857"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Zgodnie z art. 80 rozporządzenia 2021/2115 środki EFRROW mogą być realizowane w formie wsparcia zwrotnego za pośrednictwem instrumentów finansowych. Zastosowanie wsparcia w formie instrumentów finansowych w ramach Planu Strategicznego jest fakultatywne i należy </w:t>
      </w:r>
      <w:r w:rsidRPr="00C543E1">
        <w:rPr>
          <w:rFonts w:ascii="Times New Roman" w:eastAsia="TimesNewRomanPSMT" w:hAnsi="Times New Roman"/>
          <w:sz w:val="24"/>
          <w:szCs w:val="24"/>
          <w:lang w:eastAsia="pl-PL"/>
        </w:rPr>
        <w:lastRenderedPageBreak/>
        <w:t>wyłącznie do decyzji IZ, jednakże zasadność wprowadzenia takiej formy wsparcia musi zostać potwierdzona w dokonanej analizie ex ante.</w:t>
      </w:r>
    </w:p>
    <w:p w14:paraId="3219C6F5"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Zarówno przeprowadzone dotychczas analizy ex ante, jak i pilotażowe wdrażanie finansowania zwrotnego jako Funduszu Gwarancji Rolnych (FGR) w ramach PROW 2014–2020 potwierdziły zasadność stosowania tej formy wsparcia. </w:t>
      </w:r>
    </w:p>
    <w:p w14:paraId="21F26512"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Celem FGR było wsparcie gospodarstw rolnych i przedsiębiorstw (MŚP) przetwórstwa rolno-spożywczego w dostępie do finansowania przez udzielanie gwarancji oraz dofinansowania w formie dopłat do oprocentowania kredytów obrotowych objętych tymi gwarancjami.</w:t>
      </w:r>
    </w:p>
    <w:p w14:paraId="6B1C22A0"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FGR wypełnił lukę w finansowaniu zwrotnym sektora rolnego, która była spowodowana głównie ograniczoną ofertą rynkową w związku z brakiem odpowiednich (z punktu widzenia banków) zabezpieczeń, m.in. w związku z ograniczeniami w zakresie egzekucji z majątku rolnika.</w:t>
      </w:r>
    </w:p>
    <w:p w14:paraId="31695215"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W ramach oceny ex ante Planu Strategicznego została zidentyfikowana luka finansowa jako efekt niedoskonałości rynku o wielkości 2,2 mld zł.</w:t>
      </w:r>
    </w:p>
    <w:p w14:paraId="307EB025"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Projektowana ustawa umożliwia skuteczne wdrożenie i uzupełnienie przepisów UE w zakresie instrumentów finansowych zawartych przede wszystkim w rozporządzeniu 2021/1060.</w:t>
      </w:r>
    </w:p>
    <w:p w14:paraId="07383DFB"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Projekt ustawy określa tryb wyboru podmiotu wdrażającego instrumenty finansowe, wskazuje podmioty zaangażowane we wdrażanie instrumentów finansowych oraz precyzuje ich zadania. </w:t>
      </w:r>
    </w:p>
    <w:p w14:paraId="13AE850D"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Wskazuje się, że instytucja zarządzająca może zapewnić wkład finansowy ze środków Planu Strategicznego na rzecz instrumentów finansowych na zasadach określonych w art. 59 rozporządzenia 2021/1060.</w:t>
      </w:r>
    </w:p>
    <w:p w14:paraId="29330669"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Projekt uzupełnia przepisy UE w zakresie wskazania podmiotów, które z racji doświadczenia we wdrażaniu pozadotacyjnych form wsparcia, zdolności instytucjonalnych, a także usytuowania w systemie instytucji publicznych i realizowania zadań publicznych, mogą pełnić na poziomie krajowym rolę podmiotu wdrażającego instrument finansowy.</w:t>
      </w:r>
    </w:p>
    <w:p w14:paraId="2589B6F3"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Zgodnie z art. 59 ust. 3 rozporządzenia 2021/1060 przy wspieraniu instrumentów finansowych IZ może powierzyć zadania wdrożeniowe przez bezpośrednie udzielenie zamówienia, m.in. publicznemu bankowi lub publicznej instytucji, ustanowionym jako podmioty prawne prowadzące profesjonalną działalność finansową, które spełniają wszystkie warunki określone w przepisach rozporządzenia 2021/1060. Takim podmiotem predysponowanym do pełnienia </w:t>
      </w:r>
      <w:r w:rsidRPr="00C543E1">
        <w:rPr>
          <w:rFonts w:ascii="Times New Roman" w:eastAsia="TimesNewRomanPSMT" w:hAnsi="Times New Roman"/>
          <w:sz w:val="24"/>
          <w:szCs w:val="24"/>
          <w:lang w:eastAsia="pl-PL"/>
        </w:rPr>
        <w:lastRenderedPageBreak/>
        <w:t xml:space="preserve">ww. funkcji na poziomie krajowym jest Bank Gospodarstwa Krajowego (BGK), który został wskazany do tej roli w perspektywie 2014–2020. </w:t>
      </w:r>
    </w:p>
    <w:p w14:paraId="2F3C42B9"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Projektowana ustawa określa kompetencje ARiMR jako agencji płatniczej, a także posiadającej kompetencje kontrolne w zakresie wdrażania i wykorzystywania instrumentów finansowych. </w:t>
      </w:r>
    </w:p>
    <w:p w14:paraId="35D880C2"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Jednocześnie projekt ustawy przewiduje współpracę ARiMR z podmiotem wdrażającym instrument finansowy w zakresie weryfikacji podmiotów wykluczonych z możliwości otrzymania środków przeznaczonych na WPR.</w:t>
      </w:r>
    </w:p>
    <w:p w14:paraId="4DD06C3D"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IZ zapewnia, aby kontrole zarządcze były przeprowadzane w całym okresie programowania oraz podczas ustanawiania i wdrażania instrumentów finansowych.</w:t>
      </w:r>
    </w:p>
    <w:p w14:paraId="4FD5513A"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Projektowana ustawa, uzupełniając wymogi określone w załączniku X do rozporządzenia 2021/1060, określa elementy umowy o finansowaniu zawieranej między IZ a podmiotem wdrażającym instrument finansowy.</w:t>
      </w:r>
    </w:p>
    <w:p w14:paraId="4599FB95"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Projektowana ustawa reguluje proces przepływów finansowych w zwrotnym finansowaniu oraz sposób zagospodarowania środków po ich zwrocie do funduszu. Środki finansowe przypisane do wkładu finansowego z Planu Strategicznego oraz odsetki i inne przychody, a także zyski powstałe na skutek obrotu tymi środkami, po wykonaniu zobowiązań wynikających z umowy o finansowaniu podlegają zwrotowi na rachunek wskazany przez instytucję zarządzającą, a ich dysponentem jest minister właściwy do spraw rozwoju wsi.</w:t>
      </w:r>
    </w:p>
    <w:p w14:paraId="3F5550FB"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8. Przyznawanie i wypłata pomocy technicznej (art. 111)</w:t>
      </w:r>
    </w:p>
    <w:p w14:paraId="47107C75"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Celem pomocy technicznej jest wspieranie zarządzania Planem Strategicznym i wdrażania określonych w nim interwencji (I i II filar), w tym utworzenia i funkcjonowania krajowej sieci WPR.</w:t>
      </w:r>
    </w:p>
    <w:p w14:paraId="5E837516" w14:textId="0B65881C"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W przepisach rozdziału określono ogólne zasady przyznawania i wypłaty pomocy technicznej organom lub jednostkom organizacyjnym realizującym działania określone w art. 125 ust. 1 rozporządzenia 2021/2115. Zaproponowano, aby w tym zakresie były odpowiednio stosowane przepisy projektowanej ustawy dotyczące przyznawania i</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wypłaty pomocy na podstawie umowy.</w:t>
      </w:r>
    </w:p>
    <w:p w14:paraId="742FAC00"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9. Krajowa sieć obszarów wiejskich+ (art. 112)</w:t>
      </w:r>
    </w:p>
    <w:p w14:paraId="63E6622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Krajowa Sieć Obszarów Wiejskich+ (KSOW+), która jest krajową siecią wspólnej polityki rolnej, o której mowa w art. 126 ust. 1 </w:t>
      </w:r>
      <w:r w:rsidRPr="00C543E1">
        <w:rPr>
          <w:rFonts w:ascii="Times New Roman" w:eastAsia="TimesNewRomanPSMT" w:hAnsi="Times New Roman"/>
          <w:sz w:val="24"/>
          <w:szCs w:val="24"/>
          <w:lang w:eastAsia="pl-PL"/>
        </w:rPr>
        <w:t>rozporządzenia 2021/2115</w:t>
      </w:r>
      <w:r w:rsidRPr="00C543E1">
        <w:rPr>
          <w:rFonts w:ascii="Times New Roman" w:eastAsia="Times New Roman" w:hAnsi="Times New Roman"/>
          <w:sz w:val="24"/>
          <w:szCs w:val="24"/>
          <w:lang w:eastAsia="pl-PL"/>
        </w:rPr>
        <w:t xml:space="preserve">, zostanie utworzona przy </w:t>
      </w:r>
      <w:r w:rsidRPr="00C543E1">
        <w:rPr>
          <w:rFonts w:ascii="Times New Roman" w:eastAsia="Times New Roman" w:hAnsi="Times New Roman"/>
          <w:sz w:val="24"/>
          <w:szCs w:val="24"/>
          <w:lang w:eastAsia="pl-PL"/>
        </w:rPr>
        <w:lastRenderedPageBreak/>
        <w:t xml:space="preserve">uwzględnieniu istniejącej Krajowej Sieci Obszarów Wiejskich (KSOW). KSOW+ jest ustanawiana w celu stworzenia sieci kontaktów i współpracy na szczeblu krajowym oraz wojewódzkim między organizacjami pozarządowymi i administracją, przedstawicielami sektora rolnictwa, doradcami, naukowcami, podmiotami zaangażowanymi we wdrażanie innowacji i innymi podmiotami działającymi w obszarze rolnictwa i rozwoju obszarów wiejskich. </w:t>
      </w:r>
    </w:p>
    <w:p w14:paraId="184F55A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KSOW+ będzie służyć następującym celom:</w:t>
      </w:r>
    </w:p>
    <w:p w14:paraId="3695639F" w14:textId="77777777" w:rsidR="00F9038A" w:rsidRPr="00C543E1" w:rsidRDefault="00F9038A" w:rsidP="00530A3D">
      <w:pPr>
        <w:numPr>
          <w:ilvl w:val="0"/>
          <w:numId w:val="3"/>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zwiększeniu zaangażowania wszystkich zainteresowanych stron w przygotowanie i wdrażanie Planu Strategicznego, a także ułatwianiu wymiany wiedzy i doświadczeń w zakresie jego wdrażania;</w:t>
      </w:r>
    </w:p>
    <w:p w14:paraId="1C1BABF2" w14:textId="77777777" w:rsidR="00F9038A" w:rsidRPr="00C543E1" w:rsidRDefault="00F9038A" w:rsidP="00530A3D">
      <w:pPr>
        <w:numPr>
          <w:ilvl w:val="0"/>
          <w:numId w:val="3"/>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poprawie jakości wdrażania Planu Strategicznego;</w:t>
      </w:r>
    </w:p>
    <w:p w14:paraId="6CA02CF1" w14:textId="77777777" w:rsidR="00F9038A" w:rsidRPr="00C543E1" w:rsidRDefault="00F9038A" w:rsidP="00530A3D">
      <w:pPr>
        <w:numPr>
          <w:ilvl w:val="0"/>
          <w:numId w:val="3"/>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informowaniu opinii publicznej i potencjalnych beneficjentów o WPR i możliwościach finansowania;</w:t>
      </w:r>
    </w:p>
    <w:p w14:paraId="57E90512" w14:textId="77777777" w:rsidR="00F9038A" w:rsidRPr="00C543E1" w:rsidRDefault="00F9038A" w:rsidP="00530A3D">
      <w:pPr>
        <w:numPr>
          <w:ilvl w:val="0"/>
          <w:numId w:val="3"/>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wspieraniu innowacyjności w rolnictwie i rozwoju obszarów wiejskich oraz włączeniu i interakcji między wszystkimi zainteresowanymi stronami w procesie wymiany i budowania wiedzy;</w:t>
      </w:r>
    </w:p>
    <w:p w14:paraId="2174768E" w14:textId="77777777" w:rsidR="00F9038A" w:rsidRPr="00C543E1" w:rsidRDefault="00F9038A" w:rsidP="00530A3D">
      <w:pPr>
        <w:numPr>
          <w:ilvl w:val="0"/>
          <w:numId w:val="3"/>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rozpowszechnianiu wyników realizacji Planu Strategicznego;</w:t>
      </w:r>
    </w:p>
    <w:p w14:paraId="0BF4F876" w14:textId="77777777" w:rsidR="00F9038A" w:rsidRPr="00C543E1" w:rsidRDefault="00F9038A" w:rsidP="00530A3D">
      <w:pPr>
        <w:numPr>
          <w:ilvl w:val="0"/>
          <w:numId w:val="3"/>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wspieraniu administracji we wdrażaniu Planu Strategicznego i przechodzeniu na model realizacji oparty na wynikach;</w:t>
      </w:r>
    </w:p>
    <w:p w14:paraId="4FEC764C" w14:textId="77777777" w:rsidR="00F9038A" w:rsidRPr="00C543E1" w:rsidRDefault="00F9038A" w:rsidP="00530A3D">
      <w:pPr>
        <w:numPr>
          <w:ilvl w:val="0"/>
          <w:numId w:val="3"/>
        </w:numPr>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wspieraniu zdolności monitorowania i oceny odpowiednich organów.</w:t>
      </w:r>
    </w:p>
    <w:p w14:paraId="3D831AA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projektowanym rozdziale zostały wskazane podmioty zapewniające funkcjonowanie KSOW+, do których należą:</w:t>
      </w:r>
    </w:p>
    <w:p w14:paraId="69A13DDF" w14:textId="77777777" w:rsidR="00F9038A" w:rsidRPr="00C543E1" w:rsidRDefault="00F9038A" w:rsidP="00530A3D">
      <w:pPr>
        <w:numPr>
          <w:ilvl w:val="0"/>
          <w:numId w:val="4"/>
        </w:numPr>
        <w:autoSpaceDE w:val="0"/>
        <w:autoSpaceDN w:val="0"/>
        <w:adjustRightInd w:val="0"/>
        <w:spacing w:after="0" w:line="360" w:lineRule="auto"/>
        <w:ind w:left="510" w:hanging="510"/>
        <w:contextualSpacing/>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IZ;</w:t>
      </w:r>
    </w:p>
    <w:p w14:paraId="69CF745E" w14:textId="77777777" w:rsidR="00F9038A" w:rsidRPr="00C543E1" w:rsidRDefault="00F9038A" w:rsidP="00530A3D">
      <w:pPr>
        <w:numPr>
          <w:ilvl w:val="0"/>
          <w:numId w:val="4"/>
        </w:numPr>
        <w:autoSpaceDE w:val="0"/>
        <w:autoSpaceDN w:val="0"/>
        <w:adjustRightInd w:val="0"/>
        <w:spacing w:after="0" w:line="360" w:lineRule="auto"/>
        <w:ind w:left="510" w:hanging="510"/>
        <w:contextualSpacing/>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CDR – jako jednostka centralna;</w:t>
      </w:r>
    </w:p>
    <w:p w14:paraId="56B02A9D" w14:textId="77777777" w:rsidR="00F9038A" w:rsidRPr="00C543E1" w:rsidRDefault="00F9038A" w:rsidP="00530A3D">
      <w:pPr>
        <w:numPr>
          <w:ilvl w:val="0"/>
          <w:numId w:val="4"/>
        </w:numPr>
        <w:autoSpaceDE w:val="0"/>
        <w:autoSpaceDN w:val="0"/>
        <w:adjustRightInd w:val="0"/>
        <w:spacing w:after="0" w:line="360" w:lineRule="auto"/>
        <w:ind w:left="510" w:hanging="510"/>
        <w:contextualSpacing/>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samorządy województw i wojewódzkie ośrodki doradztwa rolniczego – jako jednostki regionalne;</w:t>
      </w:r>
    </w:p>
    <w:p w14:paraId="3F5FBB87" w14:textId="77777777" w:rsidR="00F9038A" w:rsidRPr="00C543E1" w:rsidRDefault="00F9038A" w:rsidP="00530A3D">
      <w:pPr>
        <w:numPr>
          <w:ilvl w:val="0"/>
          <w:numId w:val="4"/>
        </w:numPr>
        <w:autoSpaceDE w:val="0"/>
        <w:autoSpaceDN w:val="0"/>
        <w:adjustRightInd w:val="0"/>
        <w:spacing w:after="0" w:line="360" w:lineRule="auto"/>
        <w:ind w:left="510" w:hanging="510"/>
        <w:contextualSpacing/>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ARiMR – jako jednostka realizująca zadania informacyjno-promocyjne</w:t>
      </w:r>
      <w:r w:rsidRPr="00C543E1">
        <w:rPr>
          <w:rFonts w:ascii="Times New Roman" w:hAnsi="Times New Roman"/>
          <w:sz w:val="24"/>
          <w:szCs w:val="24"/>
          <w:lang w:eastAsia="pl-PL"/>
        </w:rPr>
        <w:t xml:space="preserve"> </w:t>
      </w:r>
      <w:r w:rsidRPr="00C543E1">
        <w:rPr>
          <w:rFonts w:ascii="Times New Roman" w:eastAsia="Times New Roman" w:hAnsi="Times New Roman"/>
          <w:bCs/>
          <w:sz w:val="24"/>
          <w:szCs w:val="24"/>
          <w:lang w:eastAsia="pl-PL"/>
        </w:rPr>
        <w:t>dotyczące Planu Strategicznego i wdrażanych przez siebie interwencji.</w:t>
      </w:r>
    </w:p>
    <w:p w14:paraId="56A9F27F"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Jednostki te będą wykonywały zadania dotyczące m.in. opracowania i realizacji planu działania KSOW+.</w:t>
      </w:r>
    </w:p>
    <w:p w14:paraId="50C8E4C7"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Projektowana ustawa określa zadania IZ oraz pozostałych ww. jednostek, a także wskazuje zależności między nimi w ramach systemu funkcjonowania KSOW+.</w:t>
      </w:r>
    </w:p>
    <w:p w14:paraId="45FD7CAF"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W strukturze organizacyjnej KSOW+ przewidziano również powołanie przez ministra właściwego do spraw rozwoju wsi organu opiniodawczo-doradczego w zakresie KSOW+, którego obsługę będzie zapewniać jednostka centralna.</w:t>
      </w:r>
    </w:p>
    <w:p w14:paraId="28A52FF9"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Na potrzeby wzmocnienia systemu wiedzy i innowacji (AKIS), w ramach KSOW+ funkcjonować będą sieci tematyczne dotyczące innowacji w rolnictwie i na obszarach wiejskich oraz w gospodarstwach demonstracyjnych. Koordynacja i wsparcie realizacji zadań tych sieci będą zapewnione przez jednostkę centralną. Instytucja zarządzająca będzie określać w wytycznych szczegółowe zasady ich funkcjonowania. </w:t>
      </w:r>
    </w:p>
    <w:p w14:paraId="642E3A99"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Projektowane przepisy wprowadzają sieć tematyczną dotyczącą innowacji w rolnictwie i na obszarach wiejskich jako kontynuację zadań KSOW realizowanych w PROW 2014–2020 przez CDR i wojewódzkie ośrodki doradztwa rolniczego, o których mowa w art. 54 ust. 2 lit. d rozporządzenia nr 1305/2013, wykonywanych w ramach sieci na rzecz innowacji w rolnictwie i na obszarach wiejskich (SIR), w tym zadania polegające na współpracy w ramach sieci EPI, o której mowa w art. 53 ust. 1 rozporządzenia nr 1305/2013. </w:t>
      </w:r>
    </w:p>
    <w:p w14:paraId="5C8AE2EF"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SIR przez swoją markę wypracowaną w okresie PROW 2014–2020, a także strukturę opartą na publicznym doradztwie rolniczym pozwala na praktyczne zastosowanie najbardziej pożądanego modelu wdrażania innowacji, czyli wielopodmiotowej współpracy zainteresowanych stron. Celami szczegółowymi SIR są:</w:t>
      </w:r>
    </w:p>
    <w:p w14:paraId="5730E57B" w14:textId="77777777" w:rsidR="00F9038A" w:rsidRPr="00C543E1" w:rsidRDefault="00F9038A" w:rsidP="00530A3D">
      <w:pPr>
        <w:tabs>
          <w:tab w:val="left" w:pos="510"/>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1)</w:t>
      </w:r>
      <w:r w:rsidRPr="00C543E1">
        <w:rPr>
          <w:rFonts w:ascii="Times New Roman" w:eastAsia="Times New Roman" w:hAnsi="Times New Roman"/>
          <w:sz w:val="24"/>
          <w:szCs w:val="24"/>
          <w:lang w:eastAsia="pl-PL"/>
        </w:rPr>
        <w:tab/>
        <w:t>ułatwianie tworzenia oraz funkcjonowania sieci kontaktów między rolnikami, podmiotami doradczymi, jednostkami naukowymi, przedsiębiorcami sektora rolno-spożywczego oraz pozostałymi podmiotami wspierającymi wdrażanie innowacji w rolnictwie i na obszarach wiejskich;</w:t>
      </w:r>
    </w:p>
    <w:p w14:paraId="09E086CA" w14:textId="77777777" w:rsidR="00F9038A" w:rsidRPr="00C543E1" w:rsidRDefault="00F9038A" w:rsidP="00530A3D">
      <w:pPr>
        <w:tabs>
          <w:tab w:val="left" w:pos="510"/>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2)</w:t>
      </w:r>
      <w:r w:rsidRPr="00C543E1">
        <w:rPr>
          <w:rFonts w:ascii="Times New Roman" w:eastAsia="Times New Roman" w:hAnsi="Times New Roman"/>
          <w:sz w:val="24"/>
          <w:szCs w:val="24"/>
          <w:lang w:eastAsia="pl-PL"/>
        </w:rPr>
        <w:tab/>
        <w:t>ułatwianie wymiany wiedzy fachowej oraz dobrych praktyk w zakresie innowacji w rolnictwie i na obszarach wiejskich;</w:t>
      </w:r>
    </w:p>
    <w:p w14:paraId="059FA477" w14:textId="77777777" w:rsidR="00F9038A" w:rsidRPr="00C543E1" w:rsidRDefault="00F9038A" w:rsidP="00530A3D">
      <w:pPr>
        <w:tabs>
          <w:tab w:val="left" w:pos="510"/>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3)</w:t>
      </w:r>
      <w:r w:rsidRPr="00C543E1">
        <w:rPr>
          <w:rFonts w:ascii="Times New Roman" w:eastAsia="Times New Roman" w:hAnsi="Times New Roman"/>
          <w:sz w:val="24"/>
          <w:szCs w:val="24"/>
          <w:lang w:eastAsia="pl-PL"/>
        </w:rPr>
        <w:tab/>
        <w:t>pomoc w tworzeniu grup operacyjnych EPI oraz pomoc w opracowaniu projektów przez grupy operacyjne EPI i partnerstwa na rzecz innowacji.</w:t>
      </w:r>
    </w:p>
    <w:p w14:paraId="58751BBB"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Potrzeba kontynuowania działań SIR wynika z art. 126, ust. 3 lit. e rozporządzenia 2021/2115, w szczególności przez wspieranie grup operacyjnych EPI, o których mowa w art. 127 rozporządzenia 2021/2115.</w:t>
      </w:r>
    </w:p>
    <w:p w14:paraId="1FB5BF1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Projektowane przepisy wprowadzają sieć dotyczącą gospodarstw demonstracyjnych jako nową sieć działającą w ramach KSOW+, której powołanie jest związane z koniecznością </w:t>
      </w:r>
      <w:r w:rsidRPr="00C543E1">
        <w:rPr>
          <w:rFonts w:ascii="Times New Roman" w:eastAsia="Times New Roman" w:hAnsi="Times New Roman"/>
          <w:sz w:val="24"/>
          <w:szCs w:val="24"/>
          <w:lang w:eastAsia="pl-PL"/>
        </w:rPr>
        <w:lastRenderedPageBreak/>
        <w:t>popularyzowania i wykorzystania demonstracji w upowszechnianiu wiedzy i doskonaleniu zawodowym rolników. Sieć ta tworzona jest przez struktury publicznego doradztwa rolniczego, czyli CDR oraz 16 wojewódzkich ośrodków doradztwa rolniczego, które mają za zadanie m.in organizowanie sieci (w tym prowadzenie listy podmiotów prowadzących gospodarstwa demonstracyjne, weryfikacja gospodarstw demonstracyjnych, zapewnienie szkoleń i materiałów edukacyjnych posiadaczom tych gospodarstw), a także organizacja forów, wydarzeń sieciujących i utrzymanie platformy wymiany wiedzy zgodnie z wymogami art. 126 rozporządzenia 2021/2115.</w:t>
      </w:r>
    </w:p>
    <w:p w14:paraId="1A715769"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 sieci gospodarstw demonstracyjnych mogą należeć gospodarstwa rolne prowadzone przez osoby fizyczne, osoby prawne lub jednostki organizacyjne nieposiadające osobowości prawnej, w tym rolników indywidualnych, fundacje, instytuty naukowe, uczelnie i szkoły rolnicze, jak też jednostki doradztwa rolniczego. Do zadań gospodarstw w przedmiotowej sieci będzie należeć, m.in.: udostępnianie gospodarstw na potrzeby edukacyjne, w szczególności dla grup rolników wizytujących dane gospodarstwo, informowanie o prowadzonej w nim działalności innowacyjnej lub upowszechniającej dobre praktyki, współpraca z jednostkami naukowymi i doradczymi.</w:t>
      </w:r>
    </w:p>
    <w:p w14:paraId="09332081" w14:textId="77777777" w:rsidR="00F9038A" w:rsidRPr="00C543E1" w:rsidRDefault="00F9038A">
      <w:pPr>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Rozdział 10. Usługi doradcze dla rolników i transfer wiedzy (art. 113–117)</w:t>
      </w:r>
    </w:p>
    <w:p w14:paraId="0972A1AD"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Doradztwo rolnicze spełnia ogromną rolę w rozwoju rolnictwa i podnoszeniu konkurencyjności gospodarstw rolnych. UE, dostrzegając znaczenie doradztwa rolniczego dla zapewnienia realizacji wszystkich wyzwań nowej WPR, oczekuje od każdego państwa członkowskiego zapewnienia usług doradczych rolnikom przez doradców posiadających odpowiednie wykształcenie i kwalifikacje, stale uzupełniających swoja wiedzę i podnoszących umiejętności, chrakteryzujących się odpowiednią postawą moralną. Kierując się sprawdzonymi rozwiązaniami w tym zakresie, zaproponowano kontynuację dotychczasowego rozwiązania, polegającego na prowadzeniu przez dyrektora CDR listy doradców rolniczych i listy ekspertów przyrodniczych. Określono warunki wpisania na te listy oraz ich zawartość. </w:t>
      </w:r>
    </w:p>
    <w:p w14:paraId="0DB10ECA"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Zakłada się, że osoby wpisane na te listy będą miały wykształcenie kierunkowe, doświadczenie zawodowe, będą świadczyć usługi doradcze w sposób bezstronny oraz nie mogą być ukarane prawomocnym wyrokiem za umyślne przestępstwo lub za umyślne przestępstwo skarbowe. Ponadto osoby wpisane na listę doradców rolniczych będą mogły uzyskać specjalizację po ukończeniu szkolenia podstawowego specjalizacyjnego przeprowadzanego przez CDR i zadania egzaminu podstawowego specjalizacyjnego przeprowadzanego przez dyrektora CDR </w:t>
      </w:r>
      <w:r w:rsidRPr="00C543E1">
        <w:rPr>
          <w:rFonts w:ascii="Times New Roman" w:eastAsia="Times New Roman" w:hAnsi="Times New Roman"/>
          <w:sz w:val="24"/>
          <w:szCs w:val="24"/>
          <w:lang w:eastAsia="pl-PL"/>
        </w:rPr>
        <w:lastRenderedPageBreak/>
        <w:t>lub po ukończeniu studiów podyplomowych w zakresie danej specjalizacji. Przepis projektowanej ustawy nakłada na osoby już wpisane na listy obowiązek uczestniczenia odpowiednio w szkoleniach uzupełniających lub szkoleniach uzupełniających specjalizacyjnych. W projektowanej ustawie określono podstawowe zasady przeprowadzania przez CDR wymaganych szkoleń i egzaminów. CDR zostało wyznaczone do wykonywania ww. zadań ze względu na posiadane doświadczenie, zasoby kadrowe i odpowiednią bazę dydaktyczno-szkoleniową. Projektowana ustawa wskazuje, że usługi doradcze w zakresie antybiotykooporności świadczą lekarze weterynarii, a usługi w zakresie innowacji – jednostki doradztwa rolniczego w ramach odpowiedniej sieci tematycznej.</w:t>
      </w:r>
    </w:p>
    <w:p w14:paraId="5C9123E9"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Przyjęcie projektowanych rozwiązań wiąże się z koniecznością wydania rozporządzenia ministra właściwego do spraw rozwoju wsi w sprawie m.in. szczegółowych warunków i sposobu przeprowadzania szkoleń podstawowych, szkoleń uzupełniających, szkoleń podstawowych specjalizacyjnych i szkoleń uzupełniających specjalizacyjnych oraz egzaminów podstawowych, egzaminów uzupełniających i egzaminów podstawowych specjalizacyjnych i egzaminów uzupełniających specjalizacyjnych, wykazu specjalizacji oraz warunków uzyskiwania specjalizacji.</w:t>
      </w:r>
    </w:p>
    <w:p w14:paraId="471B9B41" w14:textId="77777777" w:rsidR="00F9038A" w:rsidRPr="00C543E1" w:rsidRDefault="00F9038A">
      <w:pPr>
        <w:keepNext/>
        <w:suppressAutoHyphens/>
        <w:spacing w:before="120" w:after="0" w:line="360" w:lineRule="auto"/>
        <w:rPr>
          <w:rFonts w:ascii="Times New Roman" w:eastAsia="Times New Roman" w:hAnsi="Times New Roman"/>
          <w:b/>
          <w:bCs/>
          <w:sz w:val="24"/>
          <w:szCs w:val="24"/>
          <w:lang w:eastAsia="pl-PL"/>
        </w:rPr>
      </w:pPr>
      <w:r w:rsidRPr="00C543E1">
        <w:rPr>
          <w:rFonts w:ascii="Times New Roman" w:hAnsi="Times New Roman"/>
          <w:b/>
          <w:sz w:val="24"/>
          <w:szCs w:val="24"/>
        </w:rPr>
        <w:t xml:space="preserve">Rozdział 11. </w:t>
      </w:r>
      <w:r w:rsidRPr="00C543E1">
        <w:rPr>
          <w:rFonts w:ascii="Times New Roman" w:eastAsia="Times New Roman" w:hAnsi="Times New Roman"/>
          <w:b/>
          <w:bCs/>
          <w:sz w:val="24"/>
          <w:szCs w:val="24"/>
          <w:lang w:eastAsia="pl-PL"/>
        </w:rPr>
        <w:t>Zmiany w przepisach obowiązujących</w:t>
      </w:r>
    </w:p>
    <w:p w14:paraId="091FDEE3"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b/>
          <w:sz w:val="24"/>
          <w:szCs w:val="24"/>
          <w:lang w:eastAsia="pl-PL"/>
        </w:rPr>
        <w:t>Zmiany w ustawie z dnia 26 marca 1982 r. o scalaniu i wymianie gruntów</w:t>
      </w:r>
    </w:p>
    <w:p w14:paraId="26B66EE0" w14:textId="2AA08183"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Dodanie lit. d w art. 1 w ust. 2 w pkt 9 ma na celu rozszerzenie zagospodarowania poscaleniowego o możliwość budowy lub przebudowy urządzeń wodnych mających na celu zwiększenie retencji wód. Obecnie w ramach zagospodarowania poscaleniowego jest możliwa jedynie korekta przebiegu oraz poprawa parametrów technicznych urządzeń melioracji wodnych lub innych urządzeń wodnych. Przez korektę przebiegu urządzeń melioracji wodnych lub innych urządzeń wodnych należy rozumieć korektę przebiegu istniejących rowów melioracyjnych na obszarze scalenia, która z reguły polega jedynie na dostosowaniu granic działek ewidencyjnych do przebiegu granic cieków wodnych (rowów melioracyjnych, rzek), a</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także wydzielenie gruntów na planowaną budowę lub powiększenie istniejącego zbiornika retencji wodnej. Natomiast poprawa parametrów technicznych urządzeń melioracji wodnych lub innych urządzeń wodnych to najczęściej szereg zabiegów technicznych, takich jak udrażnianie i oczyszczanie istniejących już rowów melioracyjnych, pogłębianie ich dna oraz profilowanie skarp. Rozszerzenie zagospodarowania poscaleniowego polegałoby na budowie nowych lub przebudowie istniejących urządzeń wodnych mających na celu zwiększenie </w:t>
      </w:r>
      <w:r w:rsidRPr="00C543E1">
        <w:rPr>
          <w:rFonts w:ascii="Times New Roman" w:eastAsia="Times New Roman" w:hAnsi="Times New Roman"/>
          <w:sz w:val="24"/>
          <w:szCs w:val="24"/>
          <w:lang w:eastAsia="pl-PL"/>
        </w:rPr>
        <w:lastRenderedPageBreak/>
        <w:t>retencji wodnej na obszarze scalenia. Analizy istniejącego stanu oraz kierunki proponowanych zmian wykonywane w ramach założeń do projektów scaleń gruntów wskazują, że lokalne problemy z gospodarką wodną często hamują rozwój wsi, w tym utrudniają prowadzenie gospodarstw rolnych. Poprawa struktury przestrzennej gruntów z jednoczesnym działaniem w kierunku kompleksowej poprawy stosunków wodnych na obszarze scalenia przyczyni się do poprawy gospodarowania tymi gruntami, a także do poprawy warunków retencji wodnej na tym obszarze.</w:t>
      </w:r>
    </w:p>
    <w:p w14:paraId="3FC85AF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Zmiana brzmienia art. 3 ust. 5 pkt 2 zmienianej ustawy polega na umożliwieniu włączenia w finansowanie prac scaleniowych oraz zagospodarowania poscaleniowego środków Planu Strategicznego. </w:t>
      </w:r>
    </w:p>
    <w:p w14:paraId="0457B764"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Dodanie ust. 8 w art. 3 zmienianej ustawy wiąże się z koniecznością określenia źródła finansowania zagospodarowania poscaleniowego z zakresu polegającego na budowie lub przebudowie urządzeń wodnych mających na celu zwiększenie retencji wód. Przedmiotowy zakres mógłby być finansowany w szczególności ze środków państwowych funduszy celowych oraz środków budżetów jednostek samorządu terytorialnego, jeżeli jest to zgodne odpowiednio z ich regulaminami bądź właściwością, oraz właścicieli gruntów objętych postępowaniem na zasadach ustalonych przez starostę. Jednocześnie wskazano, że środki budżetu państwa, stanowiące główne źródło finansowania tych prac, będą mogły być włączone jedynie w przypadku finansowania tego zakresu zagospodarowania poscaleniowego ze środków publicznych na zasadach określonych w ustawie z dnia 6 grudnia 2006 r. o zasadach prowadzenia polityki rozwoju lub EFRROW na zasadach określonych w przepisach odrębnych. Oznacza to, że w takim przypadku środki budżetu państwa mogłyby stanowić jedynie wymagany wkład krajowych środków publicznych. Wobec powyższego finansowanie przedmiotowego zakresu zagospodarowania poscaleniowego wyłącznie ze środków budżetu państwa nie będzie możliwe.</w:t>
      </w:r>
    </w:p>
    <w:p w14:paraId="34232722"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związku z dodaniem nowego ust. 8 w art. 3 należy dokonać zmiany o charakterze porządkowym w art. 3 w ust. 1. </w:t>
      </w:r>
    </w:p>
    <w:p w14:paraId="43A118D8"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Dodanie ust. 9 w art. 3 zmienianej ustawy umożliwi wydanie przez ministra właściwego do spraw rozwoju wsi wytycznych w zakresie sposobu koordynacji i wykonywania prac scaleniowo-wymiennych. Minister właściwy do spraw rozwoju wsi będzie podawał do publicznej wiadomości na swojej stronie internetowej ww. wytyczne oraz ich zmiany i ogłaszał </w:t>
      </w:r>
      <w:r w:rsidRPr="00C543E1">
        <w:rPr>
          <w:rFonts w:ascii="Times New Roman" w:eastAsia="Times New Roman" w:hAnsi="Times New Roman"/>
          <w:sz w:val="24"/>
          <w:szCs w:val="24"/>
          <w:lang w:eastAsia="pl-PL"/>
        </w:rPr>
        <w:lastRenderedPageBreak/>
        <w:t>w Dzienniku Urzędowym Rzeczypospolitej Polskiej „Monitor Polski” komunikat o miejscu publikacji tych wytycznych.</w:t>
      </w:r>
    </w:p>
    <w:p w14:paraId="1642F9FA"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28 września 1991 r. o lasach</w:t>
      </w:r>
    </w:p>
    <w:p w14:paraId="227CA7B1"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Zmiana w ustawie o lasach zaproponowana w projektowanej ustawie ma na celu doprecyzowanie, że realizowane obecnie zadanie starosty w zakresie kontroli udatności upraw leśnych założonych w ramach PROW 2004–2006, PROW 2007–2013 oraz PROW 2014–2020 będzie dotyczyć będzie również zalesień wykonanych w ramach Planu Strategicznego.</w:t>
      </w:r>
    </w:p>
    <w:p w14:paraId="2339E9CC"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Dodatkowo doprecyzowano przepisy, zgodnie z którymi nadleśniczy przygotowuje plan inwestycji dla podmiotu ubiegającego się o przyznanie wsparcia w ramach interwencji Zwiększanie bioróżnorodność lasów prywatnych objętej Planem Strategicznym. Interwencja ta jest kontynuacją obecnie wdrażanego poddziałania „</w:t>
      </w:r>
      <w:r w:rsidRPr="00C543E1">
        <w:rPr>
          <w:rFonts w:ascii="Times New Roman" w:hAnsi="Times New Roman"/>
          <w:sz w:val="24"/>
          <w:szCs w:val="24"/>
        </w:rPr>
        <w:t>Wsparcie na inwestycje</w:t>
      </w:r>
      <w:r w:rsidRPr="00C543E1">
        <w:rPr>
          <w:rFonts w:ascii="Times New Roman" w:eastAsia="Times New Roman" w:hAnsi="Times New Roman"/>
          <w:sz w:val="24"/>
          <w:szCs w:val="24"/>
          <w:lang w:eastAsia="pl-PL"/>
        </w:rPr>
        <w:t xml:space="preserve"> zwiększające odporność ekosystemów leśnych i ich wartość dla środowiska” PROW 2014–2020, dla którego analogiczne plany są przygotowywane już od 2019 r.</w:t>
      </w:r>
    </w:p>
    <w:p w14:paraId="7FCB0F4C"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15 lutego 1992 r. o podatku dochodowym od osób prawnych</w:t>
      </w:r>
    </w:p>
    <w:p w14:paraId="2C16CEC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NewRomanPSMT" w:hAnsi="Times New Roman"/>
          <w:sz w:val="24"/>
          <w:szCs w:val="24"/>
          <w:lang w:eastAsia="pl-PL"/>
        </w:rPr>
        <w:t xml:space="preserve">W projektowanej ustawie zaproponowano zmianę art. 17 ust. 1 pkt 53b ustawy z dnia 15 lutego 1992 r. o podatku dochodowym od osób prawnych. Zmiana polega na uwzględnieniu w obowiązującym przepisie zwalniającym z podatku od osób prawnych przychody podmiotu wdrażającego instrument finansowy w ramach PROW 2014–2020 również przychody podmiotu wdrażającego instrument finansowy w ramach Planu Strategicznego. </w:t>
      </w:r>
      <w:r w:rsidRPr="00C543E1">
        <w:rPr>
          <w:rFonts w:ascii="Times New Roman" w:eastAsia="Times New Roman" w:hAnsi="Times New Roman"/>
          <w:sz w:val="24"/>
          <w:szCs w:val="24"/>
          <w:lang w:eastAsia="pl-PL"/>
        </w:rPr>
        <w:t>Zmiana rozszerza istniejące zwolnienie przedmiotowe, wprowadzając analogiczne rozwiązanie w ramach Planu Strategicznego.</w:t>
      </w:r>
    </w:p>
    <w:p w14:paraId="02082914"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b/>
          <w:sz w:val="24"/>
          <w:szCs w:val="24"/>
          <w:lang w:eastAsia="pl-PL"/>
        </w:rPr>
      </w:pPr>
      <w:r w:rsidRPr="00C543E1">
        <w:rPr>
          <w:rFonts w:ascii="Times New Roman" w:eastAsia="TimesNewRomanPSMT" w:hAnsi="Times New Roman"/>
          <w:b/>
          <w:sz w:val="24"/>
          <w:szCs w:val="24"/>
          <w:lang w:eastAsia="pl-PL"/>
        </w:rPr>
        <w:t>Zmiana w ustawie z dnia 8 maja 1997 r. o poręczeniach i gwarancjach udzielanych przez Skarb Państwa oraz niektóre osoby prawne</w:t>
      </w:r>
    </w:p>
    <w:p w14:paraId="0E1C83E4"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NewRomanPSMT" w:hAnsi="Times New Roman"/>
          <w:sz w:val="24"/>
          <w:szCs w:val="24"/>
          <w:lang w:eastAsia="pl-PL"/>
        </w:rPr>
        <w:t>W projektowanej ustawie zaproponowano zmianę w ustawie z dnia 8 maja 1997 r. o poręczeniach i gwarancjach udzielanych przez Skarb Państwa oraz niektóre osoby prawne polegającą na dodaniu pkt 1c w art. 34g ust. 3. Zmiana polega na wprowadzeniu w tej ustawie przepisu analogicznego do przepisu dotyczącego perspektywy 2014–2020 dotyczącego źródła środków funduszu wdrażanego przez podmiot wdrażający instrument finansowy, które pochodzą ze środków Planu Strategicznego.</w:t>
      </w:r>
    </w:p>
    <w:p w14:paraId="76FC67F7"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 xml:space="preserve">Zgodnie z art. 34g ust. 1 i 2 ustawy </w:t>
      </w:r>
      <w:r w:rsidRPr="00C543E1">
        <w:rPr>
          <w:rFonts w:ascii="Times New Roman" w:eastAsia="TimesNewRomanPSMT" w:hAnsi="Times New Roman"/>
          <w:sz w:val="24"/>
          <w:szCs w:val="24"/>
          <w:lang w:eastAsia="pl-PL"/>
        </w:rPr>
        <w:t>z dnia 8 maja 1997 r. o poręczeniach i gwarancjach udzielanych przez Skarb Państwa oraz niektóre osoby prawne</w:t>
      </w:r>
      <w:r w:rsidRPr="00C543E1">
        <w:rPr>
          <w:rFonts w:ascii="Times New Roman" w:eastAsia="Times New Roman" w:hAnsi="Times New Roman"/>
          <w:sz w:val="24"/>
          <w:szCs w:val="24"/>
          <w:lang w:eastAsia="pl-PL"/>
        </w:rPr>
        <w:t xml:space="preserve"> w BGK działa Krajowy Fundusz Gwarancyjny, zwany dalej „Funduszem”, którego środki przeznacza się na:</w:t>
      </w:r>
    </w:p>
    <w:p w14:paraId="4C2D7108" w14:textId="77777777" w:rsidR="00F9038A" w:rsidRPr="00C543E1" w:rsidRDefault="00F9038A" w:rsidP="00530A3D">
      <w:pPr>
        <w:numPr>
          <w:ilvl w:val="0"/>
          <w:numId w:val="8"/>
        </w:numPr>
        <w:autoSpaceDE w:val="0"/>
        <w:autoSpaceDN w:val="0"/>
        <w:adjustRightInd w:val="0"/>
        <w:spacing w:before="120" w:after="0" w:line="360" w:lineRule="auto"/>
        <w:ind w:left="510" w:hanging="510"/>
        <w:contextualSpacing/>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pokrycie kosztów i wydatków związanych z udzielaniem poręczeń i gwarancji, w tym wypłat z tytułu udzielonych poręczeń i gwarancji stanowiących pomoc publiczną, pomoc de minimis lub pomoc de minimis w rolnictwie lub rybołówstwie, na rzecz mikroprzedsiębiorców, małych i średnich przedsiębiorców;</w:t>
      </w:r>
    </w:p>
    <w:p w14:paraId="065614F4" w14:textId="77777777" w:rsidR="00F9038A" w:rsidRPr="00C543E1" w:rsidRDefault="00F9038A" w:rsidP="00530A3D">
      <w:pPr>
        <w:numPr>
          <w:ilvl w:val="0"/>
          <w:numId w:val="8"/>
        </w:numPr>
        <w:autoSpaceDE w:val="0"/>
        <w:autoSpaceDN w:val="0"/>
        <w:adjustRightInd w:val="0"/>
        <w:spacing w:before="120" w:after="0" w:line="360" w:lineRule="auto"/>
        <w:ind w:left="510" w:hanging="510"/>
        <w:contextualSpacing/>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spłatę zobowiązań z tytułu zaciągniętych kredytów i pożyczek oraz wyemitowanych obligacji, o których mowa w art. 34ga ust. 1, w tym na pokrycie kosztów emisji obligacji;</w:t>
      </w:r>
    </w:p>
    <w:p w14:paraId="2F6E8E56" w14:textId="0B5EDBD4" w:rsidR="00F9038A" w:rsidRPr="00C543E1" w:rsidRDefault="00F9038A" w:rsidP="00530A3D">
      <w:pPr>
        <w:numPr>
          <w:ilvl w:val="0"/>
          <w:numId w:val="8"/>
        </w:numPr>
        <w:autoSpaceDE w:val="0"/>
        <w:autoSpaceDN w:val="0"/>
        <w:adjustRightInd w:val="0"/>
        <w:spacing w:before="120" w:after="0" w:line="360" w:lineRule="auto"/>
        <w:ind w:left="510" w:hanging="510"/>
        <w:contextualSpacing/>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zwrot BGK środków własnych wydatkowanych zgodnie z art. 34ga ust. 2a na finansowanie terminowej obsługi działań, o których mowa w pkt 1 i 2, wraz z wynagrodzeniem z tytułu tego finansowania, w wysokości uzgodnionej z</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ministrem właściwym do spraw finansów publicznych.</w:t>
      </w:r>
    </w:p>
    <w:p w14:paraId="3F574DD6"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Zgodnie z art. </w:t>
      </w:r>
      <w:r w:rsidRPr="00C543E1">
        <w:rPr>
          <w:rFonts w:ascii="Times New Roman" w:eastAsia="Times New Roman" w:hAnsi="Times New Roman"/>
          <w:sz w:val="24"/>
          <w:szCs w:val="24"/>
          <w:lang w:eastAsia="pl-PL"/>
        </w:rPr>
        <w:t>34g ust</w:t>
      </w:r>
      <w:r w:rsidRPr="00C543E1">
        <w:rPr>
          <w:rFonts w:ascii="Times New Roman" w:eastAsia="TimesNewRomanPSMT" w:hAnsi="Times New Roman"/>
          <w:sz w:val="24"/>
          <w:szCs w:val="24"/>
          <w:lang w:eastAsia="pl-PL"/>
        </w:rPr>
        <w:t xml:space="preserve">. 3 pkt 1a zmienianej ustawy środki Funduszu pochodzą ze </w:t>
      </w:r>
      <w:r w:rsidRPr="00C543E1">
        <w:rPr>
          <w:rFonts w:ascii="Times New Roman" w:eastAsia="Times New Roman" w:hAnsi="Times New Roman"/>
          <w:sz w:val="24"/>
          <w:szCs w:val="24"/>
          <w:lang w:eastAsia="pl-PL"/>
        </w:rPr>
        <w:t>środków finansowych, odsetek i innych przychodów, a także zysków, o których mowa w art. 50d ust. 1 ustawy o PROW 2014–2020.</w:t>
      </w:r>
    </w:p>
    <w:p w14:paraId="1351E75B"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NewRomanPSMT" w:hAnsi="Times New Roman"/>
          <w:sz w:val="24"/>
          <w:szCs w:val="24"/>
          <w:lang w:eastAsia="pl-PL"/>
        </w:rPr>
        <w:t>Obowiązujące przepisy ustawy z dnia 8 maja 1997 r. o poręczeniach i gwarancjach udzielanych przez Skarb Państwa oraz niektóre osoby prawne nie obejmują środków Planu Strategicznego. Proponowana z</w:t>
      </w:r>
      <w:r w:rsidRPr="00C543E1">
        <w:rPr>
          <w:rFonts w:ascii="Times New Roman" w:eastAsia="Times New Roman" w:hAnsi="Times New Roman"/>
          <w:sz w:val="24"/>
          <w:szCs w:val="24"/>
          <w:lang w:eastAsia="pl-PL"/>
        </w:rPr>
        <w:t>miana rozszerza katalog środków stanowiących środki finansowania Funduszu.</w:t>
      </w:r>
    </w:p>
    <w:p w14:paraId="48255504"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b/>
          <w:sz w:val="24"/>
          <w:szCs w:val="24"/>
          <w:lang w:eastAsia="pl-PL"/>
        </w:rPr>
        <w:t xml:space="preserve">Zmiany w ustawie </w:t>
      </w:r>
      <w:r w:rsidRPr="00C543E1">
        <w:rPr>
          <w:rFonts w:ascii="Times New Roman" w:eastAsia="Times New Roman" w:hAnsi="Times New Roman"/>
          <w:b/>
          <w:bCs/>
          <w:iCs/>
          <w:sz w:val="24"/>
          <w:szCs w:val="24"/>
          <w:lang w:eastAsia="pl-PL"/>
        </w:rPr>
        <w:t>z dnia 15 września 2000 r. o grupach producentów rolnych i ich związkach oraz o zmianie innych ustaw</w:t>
      </w:r>
    </w:p>
    <w:p w14:paraId="5B3B54D1"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Proponowana zmiana ustawy z dnia 15 września 2000 r. o grupach producentów rolnych i ich związkach oraz o zmianie innych ustaw wynika z konieczności realizacji założeń programowych, jakie zostały przedstawione w treści Planu Strategicznego. W części analitycznej Planu Strategicznego zostały zawarte strategiczne założenia w zakresie potrzeby organizowania się producentów z wykorzystaniem możliwości, jakie daje ten Plan. Założono, że potrzeba organizowania się producentów będzie realizowana przez promowanie wspólnych inicjatyw, realizację działań szkoleniowych w tym zakresie, a także preferowanie zorganizowanych form współpracy, w szczególności organizacji producentów, oraz ich członków w wybranych interwencjach.</w:t>
      </w:r>
    </w:p>
    <w:p w14:paraId="0E31B204"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Zgodnie ze strategicznym podejściem zaprezentowanym w analitycznej części Planu Strategicznego w ramach interwencji I.13.2 Tworzenie i rozwój organizacji producentów i grup </w:t>
      </w:r>
      <w:r w:rsidRPr="00C543E1">
        <w:rPr>
          <w:rFonts w:ascii="Times New Roman" w:eastAsia="TimesNewRomanPSMT" w:hAnsi="Times New Roman"/>
          <w:sz w:val="24"/>
          <w:szCs w:val="24"/>
          <w:lang w:eastAsia="pl-PL"/>
        </w:rPr>
        <w:lastRenderedPageBreak/>
        <w:t xml:space="preserve">producentów rolnych założono korzystniejsze warunki w zakresie maksymalnej możliwej do uzyskania kwoty wsparcia dla organizacji producentów względem grup producentów rolnych. Jednocześnie jest konieczne zagwarantowanie jednakowych wymagań dla obydwu form współpracy producentów w zakresie celów, ze względu na które powstają. </w:t>
      </w:r>
    </w:p>
    <w:p w14:paraId="2386FFFF"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W związku z powyższym, aby osiągnąć założone w Planie Strategicznym cele, jest konieczne dokonanie zmiany ww. ustawy i wprowadzenia uproszczeń w procesie uznawania i funkcjonowania grup producentów rolnych w Polsce.</w:t>
      </w:r>
    </w:p>
    <w:p w14:paraId="0D17AA7D"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Należy podkreślić, że zarówno grupy producentów rolnych, jak i organizacje producentów są beneficjentami ww. interwencji I.13.2 Planu Strategicznego, ale są także potencjalnymi beneficjentami innych interwencji Planu Strategicznego. Podobnie członkowie tych podmiotów także mogą być beneficjentami różnych interwencji w ramach Planu Strategicznego, często na preferencyjnych warunkach w porównaniu z producentami, którzy nie są zrzeszeni. Jednocześnie, z uwagi na konieczność osiągnięcia wskaźników realizacji poszczególnych interwencji Planu Strategicznego, zachodzi także potrzeba upraszczania wszelkich warunków, jakie mogą być postrzegane jako zbędne bariery administracyjne.</w:t>
      </w:r>
    </w:p>
    <w:p w14:paraId="5FF43082"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Jednolite warunki wsparcia w ramach interwencji I.13.2 Planu Strategicznego powinny obejmować wszystkich beneficjentów, w związku z czym zmienione zasady powinny obowiązywać już od I naboru wniosków o przyznanie pomocy w ramach tej interwencji. Wprowadzenie tak istotnej zmiany na etapie późniejszym, czyli w trakcie realizacji ww. interwencji, spowoduje nierówne traktowanie beneficjentów. W związku z powyższym proponowana zmiana jest ściśle skorelowana z uruchomieniem Planu Strategicznego i powinna obowiązywać od początku jego uruchomienia. Powyższe uzasadnia konieczność uwzględnienia proponowanej zmiany w art. 122 projektu ustawy.</w:t>
      </w:r>
    </w:p>
    <w:p w14:paraId="35F5E6C9" w14:textId="0D3149A9"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Dodatkowo przedstawiciele środowisk związanych z procesem organizowania się rolników w</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grupy producentów rolnych i organizacje producentów zwracają uwagę, że warunki tworzenia grup producentów rolnych w zakresie wymogu wypełniania wszystkich celów, o</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których mowa w art. 2 ww. ustawy, są niekorzystne w porównaniu z warunkami, jakie stawia się w tym zakresie organizacjom producentów, bowiem wymagają realizacji wszystkich celów określonych w art. 2 ust. 1 tej ustawy. Wymaganie realizacji wszystkich określonych ww. przepisem celów jest odbierane jako zbytnie obciążenie i zniechęca producentów do zakładania nowych grup producentów rolnych. Organizacje producentów są tworzone na podstawie przepisów rozporządzenia Parlamentu Europejskiego i Rady (UE) nr 1308/2013 z dnia 17</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lastRenderedPageBreak/>
        <w:t>grudnia 2013 r. ustanawiającego wspólną organizację rynków produktów rolnych oraz uchylającego rozporządzenia Rady (EWG) nr 922/72, (EWG) nr 234/79, (WE) nr 1037/2001 i</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(WE) nr 1234/2007 (Dz. Urz. UE L 347 z 20.12.2013, str. 671, z późn. zm.) i wymaga się od</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 xml:space="preserve">nich wypełniania minimum jednego wybranego celu, a to te podmioty mają być docelowymi podmiotami rynkowymi zrzeszającymi producentów rolnych. </w:t>
      </w:r>
    </w:p>
    <w:p w14:paraId="35A374A7" w14:textId="59802AB4"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Uproszczeniem procesu powstawania i funkcjonowania grup producentów rolnych jest zaproponowana w pkt 1 zmiana brzmienia art. 2 ww. ustawy, z której wynika ograniczenie liczby celów, jakie muszą realizować przedsiębiorstwa, aby mogły zostać uznane za grupy producentów rolnych, a następnie, jakie muszą realizować, aby ten status utrzymać. Jednocześnie rezultatem zaproponowanej zmiany powinno być bardziej efektywne wykorzystanie środków wsparcia w ramach Planu Strategicznego, w szczególności w zakresie interwencji I.13.2 Tworzenie i rozwój organizacji producentów i</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grup producentów rolnych.</w:t>
      </w:r>
    </w:p>
    <w:p w14:paraId="5ABEF705" w14:textId="25F5E3C1"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W związku z powyższym proponuje się wprowadzenie ułatwień w procesie tworzenia i</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funkcjonowania grup producentów rolnych i zrównanie tego procesu z procesem tworzenia i</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funkcjonowania organizacji producentów.</w:t>
      </w:r>
    </w:p>
    <w:p w14:paraId="6B17582D"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Zmiany zaproponowane w pkt 2, 3, 5 i pkt 6 lit. c są konsekwencjami powyżej opisanej zmiany zaproponowanej w pkt 1.</w:t>
      </w:r>
    </w:p>
    <w:p w14:paraId="799E9C9F" w14:textId="77777777"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Zmiana w pkt 1 obejmuje jednocześnie zmianę ust. 2 w art. 2 ustawy z dnia 15 września 2000 r. o grupach producentów rolnych i ich związkach oraz o zmianie innych ustaw polegającą na wprowadzeniu odwołania do definicji działalności rolniczej określonej w art. 21 ust. 1 pkt 1 projektowanej ustawy. Zmiana ta wynika z faktu uchylenia przepisów, do których aktualnie odwołuje się art. 2 z dnia 15 września 2000 r. o grupach producentów rolnych i ich związkach oraz o zmianie innych ustaw, tj. art. 4 ust. 1 lit. c pkt i rozporządzenia Parlamentu Europejskiego i Rady (UE) nr 1307/2013 z dnia 17 grudnia 2013 r. ustanawiającego przepisy dotyczące płatności bezpośrednich dla rolników na podstawie systemów wsparcia w ramach wspólnej polityki rolnej oraz uchylającego rozporządzenie Rady (WE) nr 637/2008 i rozporządzenie Rady (WE) nr 73/2009 (Dz. Urz. UE L 347 z 20.12.2013, str. 608, z późn. zm.). W związku z tym, że przepisy UE nie określają aktualnie definicji działalności rolniczej, definicja taka została wprowadzona w art. 21 ust. 1 pkt 1 projektowanej ustawy, proponuje się w pkt 1 wprowadzenie odwołania do tej definicji w celu uspójnienia podejścia do tej kwestii.</w:t>
      </w:r>
    </w:p>
    <w:p w14:paraId="54EB7DB7" w14:textId="41C755CE" w:rsidR="00F9038A" w:rsidRPr="00C543E1" w:rsidRDefault="00F9038A" w:rsidP="00530A3D">
      <w:pPr>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 xml:space="preserve">Podobnie zmiana zaprojektowana w pkt 4 polega na wprowadzeniu nowego odwołania do aktualnego przepisu dotyczącego możliwości stosowania tzw. siły wyższej i nadzwyczajnych </w:t>
      </w:r>
      <w:r w:rsidRPr="00C543E1">
        <w:rPr>
          <w:rFonts w:ascii="Times New Roman" w:eastAsia="TimesNewRomanPSMT" w:hAnsi="Times New Roman"/>
          <w:sz w:val="24"/>
          <w:szCs w:val="24"/>
          <w:lang w:eastAsia="pl-PL"/>
        </w:rPr>
        <w:lastRenderedPageBreak/>
        <w:t>okoliczności. Obecne brzmienie art. 3b ustawy z dnia 15 września 2000 r. o grupach producentów rolnych i ich związkach oraz o zmianie innych ustaw odwołuje się w tym zakresie do uchylonego przepisu art. 2 ust. 2 rozporządzenia Parlamentu Europejskiego i Rady (UE) nr</w:t>
      </w:r>
      <w:r w:rsidR="00094E11">
        <w:rPr>
          <w:rFonts w:ascii="Times New Roman" w:eastAsia="TimesNewRomanPSMT" w:hAnsi="Times New Roman"/>
          <w:sz w:val="24"/>
          <w:szCs w:val="24"/>
          <w:lang w:eastAsia="pl-PL"/>
        </w:rPr>
        <w:t xml:space="preserve"> </w:t>
      </w:r>
      <w:r w:rsidRPr="00C543E1">
        <w:rPr>
          <w:rFonts w:ascii="Times New Roman" w:eastAsia="TimesNewRomanPSMT" w:hAnsi="Times New Roman"/>
          <w:sz w:val="24"/>
          <w:szCs w:val="24"/>
          <w:lang w:eastAsia="pl-PL"/>
        </w:rPr>
        <w:t>1306/2013 z dnia 17 grudnia 2013 r. w sprawie finansowania wspólnej polityki rolnej, zarządzania nią i monitorowania jej oraz uchylającego rozporządzenia Rady (EWG) nr 352/78, (WE) nr 165/94, (WE) nr 2799/98, (WE) nr 814/2000, (WE) nr 1290/2005 i (WE) nr 485/2008 (Dz. Urz. UE L 347 z 20.12.2013, str. 549, z późn. zm.). Dlatego w pkt 4 zakłada wprowadzenie odwołania do aktualnego w tym zakresie przepisu, tj. art. 3 ust. 1 rozporządzenia 2021/2116.</w:t>
      </w:r>
    </w:p>
    <w:p w14:paraId="6942BC5B"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iCs/>
          <w:sz w:val="24"/>
          <w:szCs w:val="24"/>
          <w:lang w:eastAsia="pl-PL"/>
        </w:rPr>
        <w:t>Zmiana z</w:t>
      </w:r>
      <w:r w:rsidRPr="00C543E1">
        <w:rPr>
          <w:rFonts w:ascii="Times New Roman" w:eastAsia="Times New Roman" w:hAnsi="Times New Roman"/>
          <w:bCs/>
          <w:sz w:val="24"/>
          <w:szCs w:val="24"/>
          <w:lang w:eastAsia="pl-PL"/>
        </w:rPr>
        <w:t>aproponowana w pkt 6 lit. a ma charakter techniczny, ponieważ wprowadza wymóg podania we wniosku o uznanie za grupę producentów rolnych (GPR) numeru ewidencyjnego producenta (EP), jaki jest nadawany w trybie przepisów o krajowym systemie ewidencji producentów, ewidencji gospodarstw rolnych oraz ewidencji wniosków o przyznanie płatności. Wprowadzenie tego wymogu ma na celu ułatwienie obsługi wniosku o uznanie, w związku z tym, że podmiot posiadający numer EP jest już zarejestrowany w bazie ARiMR i został zweryfikowany, w związku z czym na etapie obsługi wniosku o uznanie ARiMR będzie korzystała z dostępnych już danych, co przyspieszy cały proces. Zmiana zaproponowana w pkt 2 ma natomiast na celu stworzenie formalnych podstaw do umożliwienia składania wniosków o uznanie za GPR za pomocą formularzy elektronicznych na stronie ARiMR. Powyższa zmiana także ma na celu ułatwienie i przyspieszenie całego procesu uznawania za GPR. Szczegóły w zakresie procesu składania wniosków za pomocą formularzy elektronicznych będą określone w ustawie z dnia 9 maja 2008 r. o Agencji Restrukturyzacji i Modernizacji Rolnictwa, zgodnie z art. 135 przedmiotowego projektu ustawy.</w:t>
      </w:r>
    </w:p>
    <w:p w14:paraId="4040D7F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 xml:space="preserve">Zmiana zaproponowana w art. 122 w pkt 7 projektu ustawy dotyczy ograniczenia częstotliwości kontroli, jakie są przeprowadzane przez dyrektorów oddziałów regionalnych ARiMR, w ramach nadzoru nad funkcjonowaniem grup producentów rolnych. Jak wynika z obecnego brzmienia przepisu art. 12 ust. 2a zmienianej ustawy, kontrole w zakresie spełniania przez grupy producentów rolnych warunków tej ustawy są przeprowadzane co najmniej raz na dwa lata, co w praktyce oznacza prowadzenie kontroli w krótkich odstępach czasu i stanowi znaczne obciążenie dla funkcjonowania grup producentów rolnych. Do Ministerstwa Rolnictwa i Rozwoju Wsi dotarły sygnały o uciążliwości tego procesu. Dlatego w pkt 7 została zaproponowana zmiana, z której wynika, że kontrole te będą przeprowadzane raz na trzy lata, a więc rzadziej niż dotychczas. Proponowane rozwiązanie wychodzi naprzeciw oczekiwaniom, a jednocześnie zaproponowana częstotliwość kontroli pozwala na wystarczająco częste ich </w:t>
      </w:r>
      <w:r w:rsidRPr="00C543E1">
        <w:rPr>
          <w:rFonts w:ascii="Times New Roman" w:eastAsia="Times New Roman" w:hAnsi="Times New Roman"/>
          <w:bCs/>
          <w:sz w:val="24"/>
          <w:szCs w:val="24"/>
          <w:lang w:eastAsia="pl-PL"/>
        </w:rPr>
        <w:lastRenderedPageBreak/>
        <w:t>prowadzenie w celu potwierdzenia spełniania warunków uznania za grupę producentów rolnych. Jednocześnie warto wskazać, że proponowana zmiana ma na celu uspójnienie podejścia do realizacji kontroli z zaproponowanym już w Planie Strategicznym w odniesieniu do organizacji producentów owoców i warzyw, które realizują programy operacyjne, dla których także określono wymóg przeprowadzania kontroli raz na trzy lata.</w:t>
      </w:r>
    </w:p>
    <w:p w14:paraId="12A9B73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21 grudnia 2000 r. o jakości handlowej artykułów rolno-spożywczych</w:t>
      </w:r>
    </w:p>
    <w:p w14:paraId="13E73B7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Zmiana jest wynikiem przepisów proponowanych w projekcie ustawy.</w:t>
      </w:r>
    </w:p>
    <w:p w14:paraId="28E1D0DA"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11 kwietnia 2003 r. o kształtowaniu ustroju rolnego</w:t>
      </w:r>
    </w:p>
    <w:p w14:paraId="7A15F5A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Obowiązujące przepisy nie uwzględniają interwencji, o której mowa w art. 69 lit. e rozporządzenia 2021/2115.</w:t>
      </w:r>
    </w:p>
    <w:p w14:paraId="377D6221" w14:textId="5EA65462"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Zasadna jest zmiana art. 2a w ust. 4 w pkt 3 lit</w:t>
      </w:r>
      <w:r w:rsidR="00692B73">
        <w:rPr>
          <w:rFonts w:ascii="Times New Roman" w:eastAsia="Times New Roman" w:hAnsi="Times New Roman"/>
          <w:sz w:val="24"/>
          <w:szCs w:val="24"/>
          <w:lang w:eastAsia="pl-PL"/>
        </w:rPr>
        <w:t>.</w:t>
      </w:r>
      <w:r w:rsidRPr="00C543E1">
        <w:rPr>
          <w:rFonts w:ascii="Times New Roman" w:eastAsia="Times New Roman" w:hAnsi="Times New Roman"/>
          <w:sz w:val="24"/>
          <w:szCs w:val="24"/>
          <w:lang w:eastAsia="pl-PL"/>
        </w:rPr>
        <w:t xml:space="preserve"> a i b ustawy o kształtowaniu ustroju rolnego celem umożliwienia wsparcia w nabywaniu nieruchomości rolnych również przez osoby fizyczne, którym przyznano pomoc finansową w ramach interwencji, o której mowa w art. 69 lit. e rozporządzenia 2021/2115. </w:t>
      </w:r>
    </w:p>
    <w:p w14:paraId="602A65D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również, aby dokonać stosownej zmiany w art. 2b ust. 4 pkt 1 lit. e ustawy o kształtowaniu ustroju rolnego, wyłączając 5 letni obowiązek prowadzenia gospodarstwa rolnego, w skład którego weszła nabyta nieruchomość rolna oraz zakaz zbywania i oddawania w posiadanie innym podmiotom nabytej nieruchomości, jeżeli nieruchomość będzie zbywana lub oddawana w posiadanie osobie, której została przyznana pomoc finansowa w ramach interwencji, o której mowa w art. 69 lit. e ww. rozporządzenia 2021/2015.</w:t>
      </w:r>
    </w:p>
    <w:p w14:paraId="559147B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28 listopada 2003 r. o wspieraniu rozwoju obszarów wiejskich ze środków pochodzących z Sekcji Gwarancji Europejskiego Funduszu Orientacji i Gwarancji Rolnej</w:t>
      </w:r>
    </w:p>
    <w:p w14:paraId="41780454" w14:textId="2407F14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125 projektowanej ustawy zaproponowano zmianę ustawy z dnia 28 listopada 2003 r. 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wspieraniu rozwoju obszarów wiejskich ze środków pochodzących z Sekcji Gwarancji Europejskiego Funduszu Orientacji i Gwarancji Rolnej w zakresie art. 5 ust. 4b oraz uchylenia upoważnienia do określenia, w drodze rozporządzenia, formularzy wniosków, w związku z projektowanymi przepisami o prowadzeniu korespondencji w sposób elektroniczny w zmienianej ustawie o.</w:t>
      </w:r>
    </w:p>
    <w:p w14:paraId="344AD8BE" w14:textId="77777777" w:rsidR="00F9038A" w:rsidRPr="00C543E1" w:rsidRDefault="00F9038A" w:rsidP="00530A3D">
      <w:pPr>
        <w:keepNext/>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lastRenderedPageBreak/>
        <w:t>Zmiany w ustawie z dnia 18 grudnia 2003 r. o krajowym systemie ewidencji producentów, ewidencji gospodarstw rolnych oraz ewidencji wniosków o przyznanie płatności</w:t>
      </w:r>
    </w:p>
    <w:p w14:paraId="3669BCC7" w14:textId="77777777" w:rsidR="00F9038A" w:rsidRPr="00C543E1" w:rsidRDefault="00F9038A" w:rsidP="00530A3D">
      <w:pPr>
        <w:keepNext/>
        <w:pBdr>
          <w:top w:val="nil"/>
          <w:left w:val="nil"/>
          <w:bottom w:val="nil"/>
          <w:right w:val="nil"/>
          <w:between w:val="nil"/>
          <w:bar w:val="nil"/>
        </w:pBdr>
        <w:spacing w:before="120" w:after="0" w:line="360" w:lineRule="auto"/>
        <w:jc w:val="both"/>
        <w:rPr>
          <w:rFonts w:ascii="Times New Roman" w:hAnsi="Times New Roman"/>
          <w:sz w:val="24"/>
          <w:szCs w:val="24"/>
          <w:bdr w:val="nil"/>
        </w:rPr>
      </w:pPr>
      <w:r w:rsidRPr="00C543E1">
        <w:rPr>
          <w:rFonts w:ascii="Times New Roman" w:eastAsia="Times New Roman" w:hAnsi="Times New Roman"/>
          <w:sz w:val="24"/>
          <w:szCs w:val="24"/>
          <w:lang w:eastAsia="pl-PL"/>
        </w:rPr>
        <w:t xml:space="preserve">W projektowanej ustawie zaproponowano zmianę ustawy z dnia 18 grudnia 2003 r. o krajowym systemie ewidencji producentów, ewidencji gospodarstw rolnych oraz ewidencji wniosków o przyznanie płatności celem dostosowania jej brzmienia do przepisów UE, tj. rozporządzenia 2021/2115, rozporządzenia 2021/2116 oraz rozporządzenia 2022/1172 i rozporządzenia 2022/1173, które </w:t>
      </w:r>
      <w:r w:rsidRPr="00C543E1">
        <w:rPr>
          <w:rFonts w:ascii="Times New Roman" w:hAnsi="Times New Roman"/>
          <w:bCs/>
          <w:sz w:val="24"/>
          <w:szCs w:val="24"/>
        </w:rPr>
        <w:t>zastępują uchylone przepisy rozporządzenia nr 1305/2013 i rozporządzenia nr 1307/2013 oraz uzupełniające je akty delegowany i wykonawczy.</w:t>
      </w:r>
      <w:r w:rsidRPr="00C543E1">
        <w:rPr>
          <w:rFonts w:ascii="Times New Roman" w:eastAsia="Times New Roman" w:hAnsi="Times New Roman"/>
          <w:sz w:val="24"/>
          <w:szCs w:val="24"/>
          <w:lang w:eastAsia="pl-PL"/>
        </w:rPr>
        <w:t xml:space="preserve"> Zmiany w tym zakresie dotyczą m.in. definicji takich pojęć jak: </w:t>
      </w:r>
      <w:r w:rsidRPr="00C543E1">
        <w:rPr>
          <w:rFonts w:ascii="Times New Roman" w:hAnsi="Times New Roman"/>
          <w:bCs/>
          <w:sz w:val="24"/>
          <w:szCs w:val="24"/>
        </w:rPr>
        <w:t xml:space="preserve">gospodarstwo rolne, rolnik, działka rolna, system identyfikacji działek rolnych, system monitorowania obszarów, maksymalny kwalifikujący się obszar. </w:t>
      </w:r>
      <w:r w:rsidRPr="00C543E1">
        <w:rPr>
          <w:rFonts w:ascii="Times New Roman" w:hAnsi="Times New Roman"/>
          <w:sz w:val="24"/>
          <w:szCs w:val="24"/>
          <w:bdr w:val="nil"/>
        </w:rPr>
        <w:t>Ponadto, w związku z tym, że nie istnieją już podmioty o statusie wstępnie uznanych organizacji producentów, brzmienie przepisów w tym zakresie zostało odpowiednio dostosowane.</w:t>
      </w:r>
    </w:p>
    <w:p w14:paraId="117BEA46" w14:textId="77777777" w:rsidR="00F9038A" w:rsidRPr="00530A3D" w:rsidRDefault="00F9038A" w:rsidP="00530A3D">
      <w:pPr>
        <w:spacing w:before="120" w:after="0" w:line="360" w:lineRule="auto"/>
        <w:jc w:val="both"/>
        <w:rPr>
          <w:rFonts w:ascii="Times New Roman" w:eastAsiaTheme="minorEastAsia" w:hAnsi="Times New Roman"/>
          <w:bCs/>
          <w:sz w:val="24"/>
          <w:szCs w:val="24"/>
          <w:lang w:eastAsia="pl-PL"/>
        </w:rPr>
      </w:pPr>
      <w:r w:rsidRPr="00C543E1">
        <w:rPr>
          <w:rFonts w:ascii="Times New Roman" w:eastAsia="Times New Roman" w:hAnsi="Times New Roman"/>
          <w:bCs/>
          <w:sz w:val="24"/>
          <w:szCs w:val="24"/>
          <w:lang w:eastAsia="pl-PL"/>
        </w:rPr>
        <w:t>C</w:t>
      </w:r>
      <w:r w:rsidRPr="00C543E1">
        <w:rPr>
          <w:rFonts w:ascii="Times New Roman" w:eastAsia="Times New Roman" w:hAnsi="Times New Roman"/>
          <w:iCs/>
          <w:sz w:val="24"/>
          <w:szCs w:val="24"/>
          <w:lang w:eastAsia="pl-PL"/>
        </w:rPr>
        <w:t xml:space="preserve">elem zmiany ustawy jest także </w:t>
      </w:r>
      <w:r w:rsidRPr="00C543E1">
        <w:rPr>
          <w:rFonts w:ascii="Times New Roman" w:eastAsia="Times New Roman" w:hAnsi="Times New Roman"/>
          <w:bCs/>
          <w:sz w:val="24"/>
          <w:szCs w:val="24"/>
          <w:lang w:eastAsia="pl-PL"/>
        </w:rPr>
        <w:t xml:space="preserve">dostosowanie jej do przepisów ustawy </w:t>
      </w:r>
      <w:r w:rsidRPr="00C543E1">
        <w:rPr>
          <w:rFonts w:ascii="Times New Roman" w:eastAsia="Times New Roman" w:hAnsi="Times New Roman"/>
          <w:iCs/>
          <w:sz w:val="24"/>
          <w:szCs w:val="24"/>
          <w:lang w:eastAsia="pl-PL"/>
        </w:rPr>
        <w:t>zmienianej w art. 135</w:t>
      </w:r>
      <w:r w:rsidRPr="00C543E1">
        <w:rPr>
          <w:rFonts w:ascii="Times New Roman" w:eastAsia="Times New Roman" w:hAnsi="Times New Roman"/>
          <w:bCs/>
          <w:sz w:val="24"/>
          <w:szCs w:val="24"/>
          <w:lang w:eastAsia="pl-PL"/>
        </w:rPr>
        <w:t xml:space="preserve">. </w:t>
      </w:r>
      <w:r w:rsidRPr="00C543E1">
        <w:rPr>
          <w:rFonts w:ascii="Times New Roman" w:hAnsi="Times New Roman"/>
          <w:sz w:val="24"/>
          <w:szCs w:val="24"/>
        </w:rPr>
        <w:t xml:space="preserve">W szczególności poszerzono katalog danych </w:t>
      </w:r>
      <w:r w:rsidRPr="00C543E1">
        <w:rPr>
          <w:rFonts w:ascii="Times New Roman" w:eastAsiaTheme="minorEastAsia" w:hAnsi="Times New Roman"/>
          <w:sz w:val="24"/>
          <w:szCs w:val="24"/>
          <w:lang w:eastAsia="pl-PL"/>
        </w:rPr>
        <w:t>zawartych</w:t>
      </w:r>
      <w:r w:rsidRPr="00C543E1">
        <w:rPr>
          <w:rFonts w:ascii="Times New Roman" w:hAnsi="Times New Roman"/>
          <w:sz w:val="24"/>
          <w:szCs w:val="24"/>
        </w:rPr>
        <w:t xml:space="preserve"> w e</w:t>
      </w:r>
      <w:r w:rsidRPr="00C543E1">
        <w:rPr>
          <w:rFonts w:ascii="Times New Roman" w:eastAsiaTheme="minorEastAsia" w:hAnsi="Times New Roman"/>
          <w:sz w:val="24"/>
          <w:szCs w:val="24"/>
          <w:lang w:eastAsia="pl-PL"/>
        </w:rPr>
        <w:t>widencji producentów (art. 7 ustawy</w:t>
      </w:r>
      <w:r w:rsidRPr="00C543E1">
        <w:rPr>
          <w:rFonts w:ascii="Times New Roman" w:eastAsia="Times New Roman" w:hAnsi="Times New Roman"/>
          <w:b/>
          <w:bCs/>
          <w:sz w:val="24"/>
          <w:szCs w:val="24"/>
          <w:lang w:eastAsia="pl-PL"/>
        </w:rPr>
        <w:t xml:space="preserve"> </w:t>
      </w:r>
      <w:r w:rsidRPr="00C543E1">
        <w:rPr>
          <w:rFonts w:ascii="Times New Roman" w:eastAsia="Times New Roman" w:hAnsi="Times New Roman"/>
          <w:bCs/>
          <w:sz w:val="24"/>
          <w:szCs w:val="24"/>
          <w:lang w:eastAsia="pl-PL"/>
        </w:rPr>
        <w:t>o krajowym systemie ewidencji producentów, ewidencji gospodarstw rolnych oraz ewidencji wniosków o przyznanie płatności</w:t>
      </w:r>
      <w:r w:rsidRPr="00C543E1">
        <w:rPr>
          <w:rFonts w:ascii="Times New Roman" w:eastAsiaTheme="minorEastAsia" w:hAnsi="Times New Roman"/>
          <w:sz w:val="24"/>
          <w:szCs w:val="24"/>
          <w:lang w:eastAsia="pl-PL"/>
        </w:rPr>
        <w:t>) o dane dotyczące numeru telefonu i adresu poczty elektronicznej, jeżeli zostały podane na podstawie art. 10c ust. 6 ustawy z dnia 9 maja 2008 r. o Agencji Restrukturyzacji i Modernizacji Rolnictwa lub we wniosku o wpis producenta do ewidencji producentów.</w:t>
      </w:r>
      <w:r w:rsidRPr="00530A3D">
        <w:rPr>
          <w:rFonts w:ascii="Times New Roman" w:eastAsiaTheme="minorEastAsia" w:hAnsi="Times New Roman"/>
          <w:bCs/>
          <w:sz w:val="24"/>
          <w:szCs w:val="24"/>
          <w:lang w:eastAsia="pl-PL"/>
        </w:rPr>
        <w:t xml:space="preserve"> Zgodnie z proponowaną zmianą w art. 14 ust. 2a ustawy, podanie za pomocą systemu teleinformatycznego ARMiR numeru telefonu lub adresu poczty elektronicznej uznaje się za zmianę danych w ewidencji producentów niewymagającą rozstrzygnięcia w drodze decyzji administracyjnej.</w:t>
      </w:r>
    </w:p>
    <w:p w14:paraId="59D739F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b/>
          <w:sz w:val="24"/>
          <w:szCs w:val="24"/>
          <w:lang w:eastAsia="pl-PL"/>
        </w:rPr>
        <w:t xml:space="preserve">Zmiany w ustawie </w:t>
      </w:r>
      <w:r w:rsidRPr="00C543E1">
        <w:rPr>
          <w:rFonts w:ascii="Times New Roman" w:eastAsia="Times New Roman" w:hAnsi="Times New Roman"/>
          <w:b/>
          <w:bCs/>
          <w:iCs/>
          <w:sz w:val="24"/>
          <w:szCs w:val="24"/>
          <w:lang w:eastAsia="pl-PL"/>
        </w:rPr>
        <w:t>z dnia 19 grudnia 2003 r. o organizacji rynków owoców i warzyw oraz rynku chmielu</w:t>
      </w:r>
    </w:p>
    <w:p w14:paraId="30D6F3C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iCs/>
          <w:sz w:val="24"/>
          <w:szCs w:val="24"/>
          <w:lang w:eastAsia="pl-PL"/>
        </w:rPr>
      </w:pPr>
      <w:r w:rsidRPr="00C543E1">
        <w:rPr>
          <w:rFonts w:ascii="Times New Roman" w:eastAsia="Times New Roman" w:hAnsi="Times New Roman"/>
          <w:bCs/>
          <w:iCs/>
          <w:sz w:val="24"/>
          <w:szCs w:val="24"/>
          <w:lang w:eastAsia="pl-PL"/>
        </w:rPr>
        <w:t>Zmiany zaproponowane w projektowanej ustawie dotyczą art. 6 ustawy z dnia 19 grudnia 2003 r. o organizacji rynków owoców i warzyw oraz rynku chmielu. Są one tożsame z propozycją zmian ustawy z dnia 15 września 2000 r. o grupach producentów rolnych i ich związkach oraz o zmianie innych ustaw, o których mowa w art. 122 projektowanej ustawy.</w:t>
      </w:r>
    </w:p>
    <w:p w14:paraId="4153AEC1"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iCs/>
          <w:sz w:val="24"/>
          <w:szCs w:val="24"/>
          <w:lang w:eastAsia="pl-PL"/>
        </w:rPr>
        <w:t>Zmiana z</w:t>
      </w:r>
      <w:r w:rsidRPr="00C543E1">
        <w:rPr>
          <w:rFonts w:ascii="Times New Roman" w:eastAsia="Times New Roman" w:hAnsi="Times New Roman"/>
          <w:bCs/>
          <w:sz w:val="24"/>
          <w:szCs w:val="24"/>
          <w:lang w:eastAsia="pl-PL"/>
        </w:rPr>
        <w:t xml:space="preserve">aproponowana w pkt 1 ma charakter techniczny, ponieważ wprowadza wymóg podania we wniosku o uznanie za organizację producentów na rynku owoców i warzyw (OP) numeru ewidencyjnego producenta (EP), jaki jest nadawany w trybie przepisów o krajowym </w:t>
      </w:r>
      <w:r w:rsidRPr="00C543E1">
        <w:rPr>
          <w:rFonts w:ascii="Times New Roman" w:eastAsia="Times New Roman" w:hAnsi="Times New Roman"/>
          <w:bCs/>
          <w:sz w:val="24"/>
          <w:szCs w:val="24"/>
          <w:lang w:eastAsia="pl-PL"/>
        </w:rPr>
        <w:lastRenderedPageBreak/>
        <w:t>systemie ewidencji producentów, ewidencji gospodarstw rolnych oraz ewidencji wniosków o przyznanie płatności. Wprowadzenie tego wymogu ma na celu ułatwienie obsługi wniosku o uznanie, w związku z tym, że podmiot posiadający numer EP jest już zarejestrowany w bazie ARiMR i został zweryfikowany, w związku z czym na etapie obsługi wniosku o uznanie ARiMR będzie korzystała z dostępnych już danych, co przyspieszy cały proces. Zmiana zaproponowana w pkt 2 ma natomiast na celu stworzenie formalnych podstaw do umożliwienia składania wniosków o uznanie za OP za pomocą formularzy elektronicznych na stronie ARiMR. Powyższa zmiana także ma na celu ułatwienie i przyspieszenie całego procesu uznawania za OP. Szczegóły w zakresie procesu składania wniosków za pomocą formularzy elektronicznych będą określone w ustawie z dnia 9 maja 2008 r. o Agencji Restrukturyzacji i Modernizacji Rolnictwa, zgodnie z art. 135 projektowanej ustawy.</w:t>
      </w:r>
    </w:p>
    <w:p w14:paraId="4263ED31"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29 stycznia 2004 r. o Inspekcji Weterynaryjnej</w:t>
      </w:r>
    </w:p>
    <w:p w14:paraId="0E8F4ACB"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sz w:val="24"/>
          <w:szCs w:val="24"/>
          <w:lang w:eastAsia="pl-PL"/>
        </w:rPr>
        <w:t>Zaproponowano zmiany mające na celu dostosowanie przepisów ustawy o Inspekcji Weterynaryjnej do przepisów o wspieraniu rozwoju obszarów wiejskich oraz przepisów o Planie Strategicznym dla wspólnej polityki rolnej w zakresie kontroli administracyjnych i kontroli na miejscu.</w:t>
      </w:r>
    </w:p>
    <w:p w14:paraId="2A3506F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b/>
          <w:sz w:val="24"/>
          <w:szCs w:val="24"/>
          <w:lang w:eastAsia="pl-PL"/>
        </w:rPr>
        <w:t xml:space="preserve">Zmiana w ustawie </w:t>
      </w:r>
      <w:r w:rsidRPr="00C543E1">
        <w:rPr>
          <w:rFonts w:ascii="Times New Roman" w:eastAsia="Times New Roman" w:hAnsi="Times New Roman"/>
          <w:b/>
          <w:bCs/>
          <w:iCs/>
          <w:sz w:val="24"/>
          <w:szCs w:val="24"/>
          <w:lang w:eastAsia="pl-PL"/>
        </w:rPr>
        <w:t>z dnia 11 marca 2004 r. o organizacji niektórych rynków rolnych</w:t>
      </w:r>
    </w:p>
    <w:p w14:paraId="4F5A0F6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bCs/>
          <w:iCs/>
          <w:sz w:val="24"/>
          <w:szCs w:val="24"/>
          <w:lang w:eastAsia="pl-PL"/>
        </w:rPr>
        <w:t xml:space="preserve">Zmiana zaproponowana w projektowanej ustawie dotyczy art. 38i ust. 2a oraz art. 38n ust. 1 ustawy z dnia 11 marca 2004 r. o organizacji niektórych rynków rolnych. Zmiana zaproponowana w pkt 1 tego artykułu jest tożsama z propozycją zmiany ustawy z dnia 15 września 2000 r. o grupach producentów rolnych i ich związkach oraz o zmianie innych ustaw, której jest zmieniana w art. 122 pkt 2 projektu ustawy, oraz ustawy z dnia 19 grudnia 2003 r. o organizacji rynków owoców i warzyw oraz rynku chmielu, która jest zmieniana w art. 127 pkt 2 projektowanej ustawy. Zaproponowana zmiana w art. 38i ust. 2a ma na celu stworzenie formalnych podstaw do umożliwienia składania wniosków o uznanie za organizację producentów na rynkach rolnych innych niż owoce i warzywa oraz mleko i przetwory mleczne (OP) za pomocą formularzy elektronicznych na stronie ARiMR. Powyższa zmiana ma na celu ułatwienie i przyspieszenie całego procesu uznawania za OP. Szczegóły w zakresie procesu składania wniosków za pomocą formularzy elektronicznych będą określone w ustawie z dnia 9 maja 2008 r. o Agencji Restrukturyzacji i Modernizacji Rolnictwa, zgodnie z art. 135 projektowanej ustawy. Jednocześnie należy wyjaśnić, że w zakresie wymogu podawania numeru ewidencyjnego producenta (EP) nie jest potrzebna zmiana ustawowa, ponieważ zakres </w:t>
      </w:r>
      <w:r w:rsidRPr="00C543E1">
        <w:rPr>
          <w:rFonts w:ascii="Times New Roman" w:eastAsia="Times New Roman" w:hAnsi="Times New Roman"/>
          <w:bCs/>
          <w:iCs/>
          <w:sz w:val="24"/>
          <w:szCs w:val="24"/>
          <w:lang w:eastAsia="pl-PL"/>
        </w:rPr>
        <w:lastRenderedPageBreak/>
        <w:t>wniosku o uznanie jest określony na poziomie rozporządzenia w sprawie szczegółowych warunków uznawania OP na rynkach rolnych innych niż owoce i warzywa oraz mleko, wydawanego na podstawie ww. ustawy, i wymóg podania tego numeru został wprowadzony na etapie nowelizacji tego rozporządzenia. Zmiana zaproponowana w pkt 2 tego artykułu dotyczy zmiany art. 38n ust. 1 ww. ustawy i polega na ograniczeniu częstotliwości kontroli, jakie mają być przeprowadzane przez dyrektorów oddziałów regionalnych ARiMR w ramach pełnionego nadzoru nad funkcjonowaniem organizacji producentów. Jak wynika z obecnego brzmienia przepisu art. 38n ust. 1 ww. ustawy, kontrole w zakresie spełniania przez organizacji producentów warunków tej ustawy są przeprowadzane co najmniej raz na dwa, co w praktyce oznacza prowadzenie kontroli w krótkich odstępach czasu i może stanowić znaczne obciążenie dla funkcjonowania organizacji producentów. Proponuje się w tym zakresie ujednolicenie podejścia ze zmianą zaproponowaną w art. 122 pkt 7 projektu ustawy, w związku z czym w art. 129 pkt 2 została zaproponowana zmiana, z której wynika, że kontrole te będą przeprowadzane raz na trzy lata, a więc rzadziej niż obecnie. Proponowane rozwiązanie wychodzi naprzeciw oczekiwaniom, a jednocześnie zaproponowana częstotliwość kontroli pozwala na wystarczająco częste ich przeprowadzanie w celu potwierdzenia spełniania warunków uznania za organizację producentów. Dodatkowo warto wskazać, że proponowana zmiana ma na celu także uspójnienie podejścia do realizacji kontroli z zaproponowanym już w treści Planu Strategicznego w odniesieniu do organizacji producentów owoców i warzyw, które realizują programy operacyjne, dla których także określono wymóg przeprowadzania kontroli raz na trzy lata. Pozostałe zmiany są</w:t>
      </w:r>
      <w:r w:rsidRPr="00C543E1">
        <w:rPr>
          <w:rFonts w:ascii="Times New Roman" w:eastAsia="Times New Roman" w:hAnsi="Times New Roman"/>
          <w:sz w:val="24"/>
          <w:szCs w:val="24"/>
          <w:lang w:eastAsia="pl-PL"/>
        </w:rPr>
        <w:t xml:space="preserve"> wynikiem przepisów proponowanych w projekcie ustawy.</w:t>
      </w:r>
    </w:p>
    <w:p w14:paraId="4D0E713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bCs/>
          <w:sz w:val="24"/>
          <w:szCs w:val="24"/>
          <w:lang w:eastAsia="pl-PL"/>
        </w:rPr>
      </w:pPr>
      <w:r w:rsidRPr="00C543E1">
        <w:rPr>
          <w:rFonts w:ascii="Times New Roman" w:eastAsia="Times New Roman" w:hAnsi="Times New Roman"/>
          <w:b/>
          <w:bCs/>
          <w:sz w:val="24"/>
          <w:szCs w:val="24"/>
          <w:lang w:eastAsia="pl-PL"/>
        </w:rPr>
        <w:t xml:space="preserve">Zmiana w ustawie </w:t>
      </w:r>
      <w:r w:rsidRPr="00C543E1">
        <w:rPr>
          <w:rFonts w:ascii="Times New Roman" w:eastAsia="Times New Roman" w:hAnsi="Times New Roman"/>
          <w:b/>
          <w:bCs/>
          <w:iCs/>
          <w:sz w:val="24"/>
          <w:szCs w:val="24"/>
          <w:lang w:eastAsia="pl-PL"/>
        </w:rPr>
        <w:t>z dnia 20 kwietnia 2004 r. o organizacji rynku mleka i przetworów mlecznych</w:t>
      </w:r>
    </w:p>
    <w:p w14:paraId="3E19E954" w14:textId="1F80400B"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iCs/>
          <w:sz w:val="24"/>
          <w:szCs w:val="24"/>
          <w:lang w:eastAsia="pl-PL"/>
        </w:rPr>
      </w:pPr>
      <w:r w:rsidRPr="00C543E1">
        <w:rPr>
          <w:rFonts w:ascii="Times New Roman" w:eastAsia="Times New Roman" w:hAnsi="Times New Roman"/>
          <w:bCs/>
          <w:iCs/>
          <w:sz w:val="24"/>
          <w:szCs w:val="24"/>
          <w:lang w:eastAsia="pl-PL"/>
        </w:rPr>
        <w:t>Zmiana zaproponowana w projektowanej ustawie dotyczy art. 48a ust. 3 oraz art. 49 ust. 2 ustawy z dnia 20 kwietnia 2004 r. o organizacji rynku mleka i przetworów mlecznych. Zmiana zaproponowana w pkt</w:t>
      </w:r>
      <w:r w:rsidR="00530A3D">
        <w:rPr>
          <w:rFonts w:ascii="Times New Roman" w:eastAsia="Times New Roman" w:hAnsi="Times New Roman"/>
          <w:bCs/>
          <w:iCs/>
          <w:sz w:val="24"/>
          <w:szCs w:val="24"/>
          <w:lang w:eastAsia="pl-PL"/>
        </w:rPr>
        <w:t>.</w:t>
      </w:r>
      <w:r w:rsidRPr="00C543E1">
        <w:rPr>
          <w:rFonts w:ascii="Times New Roman" w:eastAsia="Times New Roman" w:hAnsi="Times New Roman"/>
          <w:bCs/>
          <w:iCs/>
          <w:sz w:val="24"/>
          <w:szCs w:val="24"/>
          <w:lang w:eastAsia="pl-PL"/>
        </w:rPr>
        <w:t xml:space="preserve"> 1 tego artykułu jest tożsama z propozycją zmiany ustawy z dnia 15 września 2000 r. o grupach producentów rolnych i ich związkach oraz o zmianie innych ustaw zmienianej w art. 122 pkt 2 projektowanej ustawy, ustawy z dnia 19 grudnia 2003 r. o organizacji rynków owoców i warzyw oraz rynku chmielu zmienianej w art. 127 pkt 2 projektowanej ustawy oraz ustawy z dnia 11 marca 2004 r. o organizacji niektórych rynków rolnych zmienianej w art. 129 projektowanej ustawy. Zaproponowana zmiana w art. 48a ust. 3 ma na celu stworzenie formalnych podstaw do umożliwienia składania wniosków o uznanie za organizację producentów na rynku mleka i przetworów mlecznych (OP) za pomocą formularzy </w:t>
      </w:r>
      <w:r w:rsidRPr="00C543E1">
        <w:rPr>
          <w:rFonts w:ascii="Times New Roman" w:eastAsia="Times New Roman" w:hAnsi="Times New Roman"/>
          <w:bCs/>
          <w:iCs/>
          <w:sz w:val="24"/>
          <w:szCs w:val="24"/>
          <w:lang w:eastAsia="pl-PL"/>
        </w:rPr>
        <w:lastRenderedPageBreak/>
        <w:t>elektronicznych na stronie ARiMR. Powyższa zmiana ma na celu ułatwienie i przyspieszenie całego procesu uznawania za OP. Szczegóły w zakresie procesu składania wniosków za pomocą formularzy elektronicznych będą określone w ustawie z dnia 9 maja 2008 r. o Agencji Restrukturyzacji i Modernizacji Rolnictwa, zgodnie z art. 135 projektu ustawy. Jednocześnie należy wyjaśnić, że w zakresie wymogu podawania numeru ewidencyjnego producenta (EP) nie jest potrzebna zmiana ustawowa, ponieważ zakres wniosku o uznanie jest określony na poziomie rozporządzenia w sprawie szczegółowych warunków uznawania OP na rynku mleka i przetworów mlecznych, wydawanego na podstawie ww. ustawy i wymóg podania tego numeru został wprowadzony na etapie nowelizacji tego rozporządzenia. Zmiana zaproponowana w pkt</w:t>
      </w:r>
      <w:r w:rsidR="00071B41">
        <w:rPr>
          <w:rFonts w:ascii="Times New Roman" w:eastAsia="Times New Roman" w:hAnsi="Times New Roman"/>
          <w:bCs/>
          <w:iCs/>
          <w:sz w:val="24"/>
          <w:szCs w:val="24"/>
          <w:lang w:eastAsia="pl-PL"/>
        </w:rPr>
        <w:t>.</w:t>
      </w:r>
      <w:r w:rsidRPr="00C543E1">
        <w:rPr>
          <w:rFonts w:ascii="Times New Roman" w:eastAsia="Times New Roman" w:hAnsi="Times New Roman"/>
          <w:bCs/>
          <w:iCs/>
          <w:sz w:val="24"/>
          <w:szCs w:val="24"/>
          <w:lang w:eastAsia="pl-PL"/>
        </w:rPr>
        <w:t xml:space="preserve"> 2 tego artykułu dotyczy zmiany art. 49 ust. 2 ww. ustawy i polega na ograniczeniu częstotliwości kontroli, jakie mają być przeprowadzane przez dyrektorów oddziałów regionalnych ARiMR w ramach pełnionego nadzoru nad funkcjonowaniem organizacji producentów. Jak wynika z obecnego brzmienia przepisu art. 49 ust. 2 ww. ustawy, kontrole w zakresie spełniania przez organizacji producentów warunków tej ustawy są przeprowadzane co najmniej raz na dwa, co w praktyce oznacza prowadzenie kontroli w krótkich odstępach czasu i może stanowić znaczne obciążenie dla funkcjonowania organizacji producentów. Proponuje się w tym zakresie ujednolicenie podejścia ze zmianą zaproponowaną w art. 122 pkt 7 oraz art. 129 pkt 2 projektu ustawy, w związku z czym w art. 130 pkt. 2 zaproponowana została zmiana, z której wynika, że kontrole te będą przeprowadzane raz na trzy lata, a więc rzadziej niż obecnie. Proponowane rozwiązanie wychodzi naprzeciw oczekiwaniom, a jednocześnie zaproponowana częstotliwość kontroli pozwala na wystarczająco częste ich przeprowadzanie w celu potwierdzenia spełniania warunków uznania za organizację producentów. Dodatkowo warto wskazać, że proponowana zmiana ma na celu także uspójnienie podejścia do realizacji kontroli z zaproponowanym już w treści Planu Strategicznego w odniesieniu do organizacji producentów owoców i warzyw, które realizują programy operacyjne, dla których także określono wymóg przeprowadzania kontroli raz na trzy lata.</w:t>
      </w:r>
    </w:p>
    <w:p w14:paraId="031904A6"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22 października 2004 r. o jednostkach doradztwa rolniczego</w:t>
      </w:r>
    </w:p>
    <w:p w14:paraId="71D41291"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NewRomanPSMT" w:hAnsi="Times New Roman"/>
          <w:sz w:val="24"/>
          <w:szCs w:val="24"/>
          <w:lang w:eastAsia="pl-PL"/>
        </w:rPr>
      </w:pPr>
      <w:r w:rsidRPr="00C543E1">
        <w:rPr>
          <w:rFonts w:ascii="Times New Roman" w:eastAsia="TimesNewRomanPSMT" w:hAnsi="Times New Roman"/>
          <w:sz w:val="24"/>
          <w:szCs w:val="24"/>
          <w:lang w:eastAsia="pl-PL"/>
        </w:rPr>
        <w:t>Proponuje się uchylić ust. 1a w art. 4 ustawy z dnia 22 października 2004 r. o jednostkach doradztwa rolniczego, ponieważ obecnie CDR nie przeprowadza kontroli w zakresie spełnienia przez prywatne podmioty doradcze warunków udzielenia akredytacji i świadczenia usług doradczych objętych udzieloną akredytacją. Akredytowane podmioty doradcze mogły świadczyć usługi doradcze w latach 2007–2013 w ramach PROW 2007–2013.</w:t>
      </w:r>
    </w:p>
    <w:p w14:paraId="6FD942B4"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lastRenderedPageBreak/>
        <w:t>Zmiana w ustawie z dnia 16 listopada 2006 r. o opłacie skarbowej</w:t>
      </w:r>
    </w:p>
    <w:p w14:paraId="7CE0F83C"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2 ust. 1 pkt 3 ustawy z dnia 16 listopada 2006 r. o opłacie skarbowej proponuje się dodać wyrazy „przyznawanej w drodze decyzji pomocy finansowej w ramach interwencji objętych Planem Strategicznym oraz w ramach przejściowego wsparcia krajowego, o którym mowa w art. 147 rozporządzenia 2021/2115”. Propozycja ma na celu dostosowanie przepisów ww. ustawy do projektowanej ustawy, która zastąpi w nowym okresie programowania ustawę z dnia 5 lutego 2015 r. o płatnościach w ramach systemów wsparcia bezpośredniego. Zgodnie z art. 168 projektu ustawy ustawa z dnia 5 lutego 2015 r. o płatnościach w ramach systemów wsparcia bezpośredniego utraci moc. Jednocześnie nadal mogą się toczyć postępowania na podstawie przepisów ustawy o płatnościach w ramach systemów wsparcia bezpośredniego w trybach nadzwyczajnych.</w:t>
      </w:r>
    </w:p>
    <w:p w14:paraId="5DA017F2"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Zmiany w ustawie z dnia 6 grudnia 2006 r. o zasadach prowadzenia polityki rozwoju</w:t>
      </w:r>
    </w:p>
    <w:p w14:paraId="61C38C62" w14:textId="6D887D1D"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obowiązujących przepisach ustawy z dnia 6 grudnia 2006 r. o zasadach prowadzenia polityki rozwoju jest mowa o dokumentach opracowanych w celu wdrożenia wsparcia finansowanego z EFRG lub EFRROW. Aktualnie dokumentem tym jest Plan Strategiczny. Z tego względu w art. 133 pkt 1–4 projektowanej ustawy proponuje się zastosować właściwe nazewnictwo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tym zakresie.</w:t>
      </w:r>
    </w:p>
    <w:p w14:paraId="25ED73E7"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celu zachowania spójności w zakresie stosowanego nazewnictwa zaproponowano również w pkt 3, 5, 6 i 8 wprowadzenie nazwy „program rozwoju obszarów wiejskich” zamiast nazwy „program realizowany z wykorzystaniem środków Europejskiego Funduszu Rolnego na rzecz Rozwoju Obszarów Wiejskich na lata 2014–2020”.</w:t>
      </w:r>
    </w:p>
    <w:p w14:paraId="218438C4" w14:textId="5C6336CC"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Obowiązujące przepisy zmienianej ustawy umożliwiają ministrowi właściwemu do spraw rozwoju wsi opracowanie Planu Strategicznego, a także reprezentowanie Rzeczypospolitej Polskiej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kontaktach z KE, prowadzenie negocjacji z KE mających na celu uzgodnienie jego treści oraz proponowanie podmiotów, które mają być odpowiedzialne za zarządzanie i kontrolę tego Planu. Przepisy te nie uwzględniają jednak możliwości zmiany Planu Strategicznego i nie określają ani sposobu postępowania z projektem zmiany tego Planu, ani sposobów upubliczniania Planu Strategicznego i jego zmian. </w:t>
      </w:r>
    </w:p>
    <w:p w14:paraId="6882747E"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 tego względu w pkt 7 i 8 zaproponowano zmiany analogiczne do przepisów obowiązujących dla PROW 2014</w:t>
      </w:r>
      <w:r w:rsidRPr="00C543E1">
        <w:rPr>
          <w:rFonts w:ascii="Times New Roman" w:eastAsia="Times New Roman" w:hAnsi="Times New Roman"/>
          <w:b/>
          <w:sz w:val="24"/>
          <w:szCs w:val="24"/>
          <w:lang w:eastAsia="pl-PL"/>
        </w:rPr>
        <w:t>–</w:t>
      </w:r>
      <w:r w:rsidRPr="00C543E1">
        <w:rPr>
          <w:rFonts w:ascii="Times New Roman" w:eastAsia="Times New Roman" w:hAnsi="Times New Roman"/>
          <w:sz w:val="24"/>
          <w:szCs w:val="24"/>
          <w:lang w:eastAsia="pl-PL"/>
        </w:rPr>
        <w:t>2020.</w:t>
      </w:r>
    </w:p>
    <w:p w14:paraId="6FBBF5F0"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W pkt 9 zaproponowano uporządkowanie przepisu przez wykreślenie w rozdziale 5 w art. 35 w ust. 1 zmienianej ustawy programu współfinansowanego z Europejskiego Funduszu Rolnego na rzecz Rozwoju Obszarów Wiejskich z uwagi na fakt, że przepisy rozdziału 5 nie dotyczą tego programu, co wynika bezpośrednio z art. 1 zmienianej ustawy.</w:t>
      </w:r>
    </w:p>
    <w:p w14:paraId="18D6F52C" w14:textId="6EB92C86"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Zmiany w ustawie z dnia 7 marca 2007 r. o wspieraniu rozwoju obszarów wiejskich z</w:t>
      </w:r>
      <w:r w:rsidR="00094E11">
        <w:rPr>
          <w:rFonts w:ascii="Times New Roman" w:eastAsia="Times New Roman" w:hAnsi="Times New Roman"/>
          <w:b/>
          <w:sz w:val="24"/>
          <w:szCs w:val="24"/>
          <w:lang w:eastAsia="pl-PL"/>
        </w:rPr>
        <w:t xml:space="preserve"> </w:t>
      </w:r>
      <w:r w:rsidRPr="00C543E1">
        <w:rPr>
          <w:rFonts w:ascii="Times New Roman" w:eastAsia="Times New Roman" w:hAnsi="Times New Roman"/>
          <w:b/>
          <w:sz w:val="24"/>
          <w:szCs w:val="24"/>
          <w:lang w:eastAsia="pl-PL"/>
        </w:rPr>
        <w:t>udziałem środków Europejskiego Funduszu Rolnego na rzecz Rozwoju Obszarów Wiejskich w ramach Programu Rozwoju Obszarów Wiejskich na lata 2007–2013</w:t>
      </w:r>
    </w:p>
    <w:p w14:paraId="09884B91" w14:textId="5373F46F"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zaproponowano zmianę w ustawie z dnia 7 marca 2007 r. 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wspieraniu rozwoju obszarów wiejskich z udziałem środków Europejskiego Funduszu Rolnego na rzecz Rozwoju Obszarów Wiejskich w ramach Programu Rozwoju Obszarów Wiejskich na lata 2007–2013 polegającą na uchyleniu art. 15. Zmiana ma na celu zwolnienie z obowiązku sprawowania przez marszałków województw nadzoru nad LGD, które zakończyły współpracę w ramach umowy ramowej w okresie programowania na lata 2007–2013. Proponowane uchylenie przepisu w zmienianej ustawie jest powiązane ze zmianą, o której mowa w art. 138 pkt 4 projektowanej ustawy zmieniającej ustawę o RLKS w tym zakresie (projekt nowego art. 4b).</w:t>
      </w:r>
    </w:p>
    <w:p w14:paraId="4CC79E17"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Zmiana art. 24 ust. 2 oraz uchylenie ust. 3 i 4 jest konsekwencją wprowadzenia projektowanych przepisów o elektronicznej korespondencji w ustawie z dnia 9 maja 2008 r. o Agencji Restrukturyzacji i Modernizacji Rolnictwa.</w:t>
      </w:r>
    </w:p>
    <w:p w14:paraId="2108BCD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Zmiany w ustawie z dnia 9 maja 2008 r. o Agencji Restrukturyzacji i Modernizacji Rolnictwa</w:t>
      </w:r>
    </w:p>
    <w:p w14:paraId="67412778" w14:textId="4DF48A43"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zaproponowano zmianę w ustawie z dnia 9 maja 2008 r. o Agencji Restrukturyzacji i Modernizacji Rolnictwa polegającą na uchyleniu pkt 7 w art. 6 ust. 2. Zgodnie z tym przepisem zadania agencji płatniczej w zakresie dotyczącym realizacji wsparcia pszczelarstwa w ramach WPR, z wyjątkiem dochodzenia zwrotu nienależnych kwot pomocy oraz dokonywania płatności, o którym mowa w art. 7 ust. 1 akapit drugi rozporządzenia nr 1306/2013, wykonuje, jako zadania delegowane zgodnie z pkt 1.C.1 załącznika I do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rozporządzenia delegowanego Komisji (UE) nr 907/2014 z dnia 11 marca 2014 r. uzupełniającego rozporządzenie Parlamentu Europejskiego i Rady (UE) nr 1306/2013 w odniesieniu do agencji płatniczych i innych organów, zarządzania finansami, rozliczania rachunków, zabezpieczeń oraz stosowania euro (Dz. Urz. UE L 255 z 28.08.2014, str. 18,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późn. zm.), Krajowy Ośrodek Wsparcia Rolnictwa (KOWR).</w:t>
      </w:r>
    </w:p>
    <w:p w14:paraId="49941C9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 xml:space="preserve">Zgodnie z Planem Strategicznym interwencje w sektorze produktów pszczelarskich będzie wdrażać ARiMR jako agencja płatnicza. Z tego względu jest konieczne uchylenie przepisu, który nie będzie miał zastosowania do Planu Strategicznego. </w:t>
      </w:r>
    </w:p>
    <w:p w14:paraId="521A435E"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Projektowana ustawa wprowadza zmianę art. 10c ustawy z dnia 9 maja 2008 r. o Agencji Restrukturyzacji i Modernizacji Rolnictwa. Zmiana wynika z przyjętych w projektowanej ustawie rozwiązań dotyczących składania wniosku o przyznanie pomocy i wniosku o płatność wyłącznie za pomocą formularza opracowanego przez agencję płatniczą i udostępnionego na jej stronie internetowej, jak również z przyjętych analogicznych zasad składania wniosków w ramach zadań powierzonych ARiMR realizowanych w ramach Krajowego Planu Odbudowy na podstawie przepisów ustawie z dnia 6 grudnia 2006 r. o zasadach prowadzenia polityki rozwoju. </w:t>
      </w:r>
    </w:p>
    <w:p w14:paraId="54975DEA"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obecnym stanie prawnym przepisy art. 10c przewidują wymianę korespondencji za pomocą systemu teleinformatycznego, pod warunkiem że strona tego postępowania wyraziła na to zgodę za pomocą tego systemu.</w:t>
      </w:r>
    </w:p>
    <w:p w14:paraId="4DFAC202" w14:textId="77777777" w:rsidR="00F9038A" w:rsidRPr="00C543E1" w:rsidRDefault="00F9038A">
      <w:pPr>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związku z koniecznością sprawnego i jednolitego realizowania zadań przewidzianych w projektowanej ustawie, w ramach których wnioski są składane wyłącznie za pomocą formularza opracowanego przez agencję płatniczą i udostępnionego na jej stronie internetowej, proponuje się rozszerzenie możliwości wykorzystania systemu teleinformatycznego ARiMR o dokonywanie w nim innych czynności, takich jak np. zgłoszenie uwag do wyników kontroli lub podpisanie i złożenie innych dokumentów. Jednocześnie proponuje się, aby wymiana korespondencji oraz dokonywanie innych czynności za pomocą systemu teleinformatycznego odbywało się obligatoryjnie w każdym postępowaniu wszczętym na wniosek złożony za pomocą formularza udostępnionego na stronie internetowej. Wyjątkiem są postępowania prowadzone dla działań w ramach Zintegrowanego Systemu Zarządzania i Kontroli, dla których, tak jak dotychczas, wymiana korespondencji oraz wykonywanie innych czynności za pomocą systemu teleinformatycznego będzie odbywać się po wyrażeniu przez beneficjenta zgody.</w:t>
      </w:r>
    </w:p>
    <w:p w14:paraId="27F1A510" w14:textId="77777777" w:rsidR="00F9038A" w:rsidRPr="00C543E1" w:rsidRDefault="00F9038A">
      <w:pPr>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10c określono reguły, zgodnie z którymi następuje złożenie wniosku, wymiana korespondencji oraz wykonywanie innych czynności dotyczących postępowania za pomocą systemu teleinformatycznego ARiMR. Określono również, w jakich przypadkach oraz do składania jakich dokumentów mają zastosowanie te reguły.</w:t>
      </w:r>
    </w:p>
    <w:p w14:paraId="7C56249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Ponadto w art. 10c zmienianej ustawy proponuje się uregulowanie zasad zawierania umów w sprawach o przyznanie pomocy, w których pomoc jest przyznawana na podstawie umowy zgodnie z regulaminem naboru wniosków o przyznanie pomocy. Zgodnie z proponowanym rozwiązaniem ww. umowa będzie zawierana przez złożenie oświadczeń woli strony postępowania i ARiMR, przy czym strona postępowania oświadczenie woli o zawarciu umowy będzie składała wraz z wnioskiem o przyznanie pomocy. Proponowane rozwiązanie w sposób znaczący uprości postępowanie w sprawie o przyznanie pomocy, likwidując wymianę korespondencji niezbędną dla zawarcia umowy. Oświadczenie woli ARiMR o zawarciu umowy będzie składane wraz z pismem zawierającym rozstrzygnięcie w sprawie o przyznanie pomocy. Jednocześnie w celu uniknięcia wątpliwości, czy doszło do skutecznego zawarcia umowy, proponuje się, aby datą zawarcia ww. umowy była data otrzymania pisma w sprawie przyznania pomocy w systemie teleinformatycznym ARiMR. Proponuje się przy tym, aby ta umowa była zawierana pod warunkiem potwierdzenia przez stronę zawarcia tej umowy w systemie teleinformatycznym ARiMR. Proponowane rozwiązanie ma na celu uniknięcie sytuacji, w której strona postępowania po złożeniu oświadczenia woli we wniosku o przyznaniu pomocy nie będzie mogła jednak zawrzeć ostatecznie umowy. Określono również, że tych przepisów nie stosuje się do sposobu zawierania umów o objęcie przedsięwzięcia wsparciem z planu rozwojowego, o którym mowa w ustawie z dnia 6 grudnia 2006 r. o zasadach prowadzenia polityki rozwoju.</w:t>
      </w:r>
    </w:p>
    <w:p w14:paraId="0FC67D2A"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Zaproponowano możliwość udzielenia pełnomocnictwa w sprawach, w których wniosek jest składany za pomocą systemu teleinformatycznego, za pomocą tego systemu.</w:t>
      </w:r>
    </w:p>
    <w:p w14:paraId="4CBC72AC"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Proponowane w art. 10c zmienianej ustawy rozwiązania stanowią kolejny etap cyfryzacji ARiMR, który przyczyni się do uproszczenia i przyspieszenia procesu obsługi wniosków o przyznanie pomocy, a stronie postępowania zapewni możliwość odbierania korespondencji i dokonywania czynności w sposób przyjazny, szybszy, z pominięciem tradycyjnej i niekiedy czasochłonnej wymiany korespondencji w formie papierowej.</w:t>
      </w:r>
    </w:p>
    <w:p w14:paraId="7488161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Zmiany zaproponowane w art. 29 ustawy z dnia 9 maja 2008 r. o Agencji Restrukturyzacji i Modernizacji Rolnictwa są podyktowane zamiarem wprowadzenia jednolitego administracyjnego trybu ustalania i dochodzenia należności, m.in. w odniesieniu do środków wypłaconych w ramach Planu Strategicznego, którego wdrażanie ma się rozpocząć po dniu 1 stycznia 2023 r.</w:t>
      </w:r>
    </w:p>
    <w:p w14:paraId="23C42F8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W dotychczasowym stanie prawnym dotyczącym PROW 2014–2020 przepisy przewidują, że właściwość i tryb ustalania nienależnych kwot pomocy i pomocy technicznej są określone w przepisach o ARiMR dotyczących ustalania kwoty nienależnie lub nadmiernie pobranych środków publicznych.</w:t>
      </w:r>
    </w:p>
    <w:p w14:paraId="385FDFF4"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Powyższe odesłanie do przepisów ustawy z dnia 9 maja 2008 r. o Agencji Restrukturyzacji i Modernizacji Rolnictwa determinuje stosowanie dwóch trybów ustalania nienależnie lub nadmiernie pobranych środków w ramach PROW 2014–2020 w zależności od sposobu przyznawania pomocy beneficjentom:</w:t>
      </w:r>
    </w:p>
    <w:p w14:paraId="511F56ED" w14:textId="77777777" w:rsidR="00F9038A" w:rsidRPr="00C543E1" w:rsidRDefault="00F9038A" w:rsidP="00530A3D">
      <w:pPr>
        <w:numPr>
          <w:ilvl w:val="0"/>
          <w:numId w:val="13"/>
        </w:numPr>
        <w:suppressAutoHyphens/>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tryb administracyjny – w drodze decyzji administracyjnej wydawanej na podstawie art. 29 ustawy z dnia 9 maja 2008 r. o Agencji Restrukturyzacji i Modernizacji Rolnictwa – w przypadku pomocy przyznawanej w drodze decyzji administracyjnej;</w:t>
      </w:r>
    </w:p>
    <w:p w14:paraId="3A56A048" w14:textId="77777777" w:rsidR="00F9038A" w:rsidRPr="00C543E1" w:rsidRDefault="00F9038A" w:rsidP="00530A3D">
      <w:pPr>
        <w:numPr>
          <w:ilvl w:val="0"/>
          <w:numId w:val="13"/>
        </w:numPr>
        <w:suppressAutoHyphens/>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tryb cywilny – w drodze powództwa wytoczonego na podstawie przepisów Kodeksu postępowania cywilnego (art. 30 ustawy z dnia 9 maja 2008 r. o Agencji Restrukturyzacji i Modernizacji Rolnictwa) – w przypadku pomocy przyznawanej w drodze zawarcia umowy o przyznaniu pomocy.</w:t>
      </w:r>
    </w:p>
    <w:p w14:paraId="284FD05C"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Zauważyć należy, że w ramach Planu Strategicznego ma zostać utrzymany podział na instrumenty pomocowe (interwencje), w których pomoc ma być przyznawana w drodze decyzji administracyjnej, i na takie, w których pomoc ma być przyznawana na podstawie umowy o przyznaniu pomocy. Zatem, w przypadku utrzymania przepisów ustawy z dnia 9 maja 2008 r. o Agencji Restrukturyzacji i Modernizacji Rolnictwa w niezmienionym kształcie, co do zasady, należałoby uznać, że znajdą w tym obszarze zastosowanie tryby ustalania nienależnie lub nadmiernie pobranych środków określone w art. 29 i art. 30 ustawy z dnia 9 maja 2008 r. o Agencji Restrukturyzacji i Modernizacji Rolnictwa w zależności od tego, czy pomoc została przyznana w drodze decyzji administracyjnej (tryb administracyjny), czy na podstawie umowy o przyznaniu pomocy (tryb cywilny).</w:t>
      </w:r>
    </w:p>
    <w:p w14:paraId="18F929F9"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Za odejściem w ramach Planu Strategicznego od dotychczas funkcjonującego dualizmu w zakresie ustalania nienależnie lub nadmiernie pobranych środków w zależności od tego, czy pomoc została przyznana w drodze decyzji administracyjnej (tryb administracyjny), czy na podstawie umowy o przyznaniu pomocy (tryb cywilny), przemawia okoliczność, że dla pozostałych środków europejskich (np. Programu Operacyjnego „Rybactwo i Morze” czy Krajowego Planu Odbudowy i Zwiększania Odporności) ma zastosowanie jednolity administracyjny tryb ustalania nienależnie lub nadmiernie pobranych środków, niezależnie od tego, czy pomoc została przyznana w drodze decyzji administracyjnej, czy na podstawie </w:t>
      </w:r>
      <w:r w:rsidRPr="00C543E1">
        <w:rPr>
          <w:rFonts w:ascii="Times New Roman" w:eastAsia="Times New Roman" w:hAnsi="Times New Roman"/>
          <w:sz w:val="24"/>
          <w:szCs w:val="24"/>
          <w:lang w:eastAsia="pl-PL"/>
        </w:rPr>
        <w:lastRenderedPageBreak/>
        <w:t xml:space="preserve">umowy o przyznaniu pomocy. Jednocześnie wprowadzenie dla Planu Strategicznego jednolitego administracyjnego trybu ustalania nienależnie lub nadmiernie pobranych środków pozwoliłoby na ujednolicenie i uproszczenie w ARiMR procesów w tym zakresie. </w:t>
      </w:r>
    </w:p>
    <w:p w14:paraId="29CBF30D"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administracyjny tryb ustalania nienależnie lub nadmiernie pobranych środków posiada cechy, które wskazują na jego większą sprawność i efektywność w porównaniu do trybu cywilnego zwrotu takich środków. Zalety trybu administracyjnego wiążą się m.in. z tym, że ustalenie należności w tym trybie nie wiąże się z ponoszeniem kosztów przez ARiMR, gdyż obowiązek zwrotu kosztów postępowania sądowego przez organ pojawi się dopiero wtedy, gdy beneficjent na skutek skargi wniesionej do sądu administracyjnego uzyska wyrok, którym decyzja organu zostanie uchylona. Natomiast w przypadku wnoszenia powództwa do sądu powszechnego ARiMR jest obowiązana do uiszczenia opłaty od pozwu.</w:t>
      </w:r>
    </w:p>
    <w:p w14:paraId="1037F90A"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Zaznaczyć również należy, że w trybie administracyjnym uzyskanie tytułu wykonawczego pozwalającego na wszczęcie egzekucji, co do zasady, jest możliwe po wydaniu decyzji przez organ II instancji, a ewentualne postępowanie przed wojewódzkim sądem administracyjnym nie w każdym przypadku zawiesza prowadzone postępowanie egzekucyjne. Oznacza to, że rozpoczęcie postępowania egzekucyjnego jest możliwe na podstawie wydanych przez ARiMR decyzji w sprawie zwrotu środków. Natomiast w postępowaniu cywilnym, aby uzyskać tytuł wykonawczy ARiMR musi wnieść powództwo do sądu powszechnego, a po uzyskaniu orzeczenia sądu wystąpić z wnioskiem o nadanie mu przez sąd klauzuli wykonalności.</w:t>
      </w:r>
    </w:p>
    <w:p w14:paraId="4E59BAC4" w14:textId="2CFD3D6D"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Mając na uwadze powyższe, w art. 135 w pkt 3 projektowanej ustawy zaproponowano zmiany</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art. 29 ustawy z dnia 9 maja 2008 r. o Agencji Restrukturyzacji i Modernizacji Rolnictwa, których celem jest rozciągnięcie administracyjnego trybu ustalania nienależnie lub nadmiernie pobranych środków na należności dotyczące środków, które zostały przekazane beneficjentom na podstawie umów o przyznaniu pomocy. Jednocześnie zaproponowano wykreślenie art. 30 ustawy z dnia 9 maja 2008 r. o Agencji Restrukturyzacji i Modernizacji Rolnictwa, który reguluje cywilnoprawny tryb ustalania nienależnie lub nadmiernie pobranych środków, które zostały przekazane przez ARiMR na podstawie umowy w związku z realizacją Wspólnej Polityki Rolnej, Wspólnej Polityki Rybackiej lub sektorowego programu operacyjnego.</w:t>
      </w:r>
    </w:p>
    <w:p w14:paraId="635ECBA4"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art. 29 ust. 1 ustawy z dnia 9 maja 2008 r. o Agencji Restrukturyzacji i Modernizacji Rolnictwa zaproponowano nadanie nowego brzmienia części wspólnej: „– podlegają zwrotowi, jeżeli płatność lub pomoc finansowa wypłacone z tych środków zostały pobrane nienależnie lub w nadmiernej wysokości w wyniku naruszenia prawa albo regulaminu naboru wniosków o </w:t>
      </w:r>
      <w:r w:rsidRPr="00C543E1">
        <w:rPr>
          <w:rFonts w:ascii="Times New Roman" w:eastAsia="Times New Roman" w:hAnsi="Times New Roman"/>
          <w:sz w:val="24"/>
          <w:szCs w:val="24"/>
          <w:lang w:eastAsia="pl-PL"/>
        </w:rPr>
        <w:lastRenderedPageBreak/>
        <w:t>przyznanie pomocy finansowej lub w przypadkach określonych w przepisach odrębnych dotyczących przyznawania lub wypłaty płatności lub pomocy finansowej lub zwrotu tych środków lub w postanowieniach umów o przyznaniu pomocy finansowej.”. Powyższa zmiana jest podyktowana zakładaną specyfiką wdrażania Planu Strategicznego, w ramach której istotne kwestie (np. warunki przyznania, wypłaty i zwrotu pomocy) mają być określane na poziomie regulaminu naboru wniosków o przyznanie pomocy i umowy o przyznaniu pomocy.</w:t>
      </w:r>
    </w:p>
    <w:p w14:paraId="46B735A2"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Zmiana brzmienia ust. 1c w art. 29 ustawy z dnia 9 maja 2008 r. o Agencji Restrukturyzacji i Modernizacji Rolnictwa jest konsekwencją zmian wprowadzonych w ust. 1 tego artykułu. </w:t>
      </w:r>
    </w:p>
    <w:p w14:paraId="7D9166A2"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dalszej kolejności zaproponowano nadanie nowego brzmienia art. 29 ust. 2 ustawy z dnia 9 maja 2008 r. o Agencji Restrukturyzacji i Modernizacji Rolnictwa, co jest związane z zamiarem wprowadzenia jednolitego trybu ustalania nienależnie lub nadmiernie pobranych środków niezależnie od tego, czy pomoc została przyznana w drodze decyzji administracyjnej, czy na podstawie umowy o przyznaniu pomocy. Zgodnie z przedłożoną propozycją nowego brzmienia ust. 2 właściwym w sprawie ustalenia kwoty nienależnie lub nadmiernie pobranych środków publicznych, o których mowa w ust. 1, ma być:</w:t>
      </w:r>
    </w:p>
    <w:p w14:paraId="4E1B4C70" w14:textId="77777777" w:rsidR="00F9038A" w:rsidRPr="00530A3D" w:rsidRDefault="00F9038A">
      <w:pPr>
        <w:pStyle w:val="PKTpunkt"/>
        <w:rPr>
          <w:rFonts w:ascii="Times New Roman" w:eastAsia="Times New Roman" w:hAnsi="Times New Roman" w:cs="Times New Roman"/>
          <w:szCs w:val="24"/>
        </w:rPr>
      </w:pPr>
      <w:r w:rsidRPr="00530A3D">
        <w:rPr>
          <w:rFonts w:ascii="Times New Roman" w:eastAsia="Times New Roman" w:hAnsi="Times New Roman" w:cs="Times New Roman"/>
          <w:szCs w:val="24"/>
        </w:rPr>
        <w:t>1)</w:t>
      </w:r>
      <w:r w:rsidRPr="00530A3D">
        <w:rPr>
          <w:rFonts w:ascii="Times New Roman" w:eastAsia="Times New Roman" w:hAnsi="Times New Roman" w:cs="Times New Roman"/>
          <w:szCs w:val="24"/>
        </w:rPr>
        <w:tab/>
        <w:t>organ właściwy do rozstrzygnięcia w sprawie przyznania płatności lub pomocy finansowej z tych środków publicznych przyznawanej na podstawie decyzji administracyjnej;</w:t>
      </w:r>
    </w:p>
    <w:p w14:paraId="08503AA2" w14:textId="77777777" w:rsidR="00F9038A" w:rsidRPr="00530A3D" w:rsidRDefault="00F9038A">
      <w:pPr>
        <w:pStyle w:val="PKTpunkt"/>
        <w:rPr>
          <w:rFonts w:ascii="Times New Roman" w:eastAsia="Times New Roman" w:hAnsi="Times New Roman" w:cs="Times New Roman"/>
          <w:szCs w:val="24"/>
        </w:rPr>
      </w:pPr>
      <w:r w:rsidRPr="00530A3D">
        <w:rPr>
          <w:rFonts w:ascii="Times New Roman" w:eastAsia="Times New Roman" w:hAnsi="Times New Roman" w:cs="Times New Roman"/>
          <w:szCs w:val="24"/>
        </w:rPr>
        <w:t>2)</w:t>
      </w:r>
      <w:r w:rsidRPr="00530A3D">
        <w:rPr>
          <w:rFonts w:ascii="Times New Roman" w:eastAsia="Times New Roman" w:hAnsi="Times New Roman" w:cs="Times New Roman"/>
          <w:szCs w:val="24"/>
        </w:rPr>
        <w:tab/>
        <w:t>w przypadku pomocy finansowej ze środków publicznych przyznawanej na podstawie umowy:</w:t>
      </w:r>
    </w:p>
    <w:p w14:paraId="08E61972" w14:textId="77777777" w:rsidR="00F9038A" w:rsidRPr="00530A3D" w:rsidRDefault="00F9038A" w:rsidP="00530A3D">
      <w:pPr>
        <w:pStyle w:val="LITlitera"/>
        <w:ind w:left="1020" w:hanging="510"/>
        <w:rPr>
          <w:rFonts w:ascii="Times New Roman" w:eastAsia="Times New Roman" w:hAnsi="Times New Roman" w:cs="Times New Roman"/>
          <w:szCs w:val="24"/>
        </w:rPr>
      </w:pPr>
      <w:r w:rsidRPr="00530A3D">
        <w:rPr>
          <w:rFonts w:ascii="Times New Roman" w:eastAsia="Times New Roman" w:hAnsi="Times New Roman" w:cs="Times New Roman"/>
          <w:szCs w:val="24"/>
        </w:rPr>
        <w:t>a)</w:t>
      </w:r>
      <w:r w:rsidRPr="00530A3D">
        <w:rPr>
          <w:rFonts w:ascii="Times New Roman" w:eastAsia="Times New Roman" w:hAnsi="Times New Roman" w:cs="Times New Roman"/>
          <w:szCs w:val="24"/>
        </w:rPr>
        <w:tab/>
        <w:t xml:space="preserve">kierownik jednostki organizacyjnej ARiMR wyznaczonej do rozpoznania sprawy, </w:t>
      </w:r>
    </w:p>
    <w:p w14:paraId="7E6ACD8D" w14:textId="77777777" w:rsidR="00F9038A" w:rsidRPr="00530A3D" w:rsidRDefault="00F9038A" w:rsidP="00530A3D">
      <w:pPr>
        <w:pStyle w:val="LITlitera"/>
        <w:ind w:left="1020" w:hanging="510"/>
        <w:rPr>
          <w:rFonts w:ascii="Times New Roman" w:eastAsia="Times New Roman" w:hAnsi="Times New Roman" w:cs="Times New Roman"/>
          <w:szCs w:val="24"/>
        </w:rPr>
      </w:pPr>
      <w:r w:rsidRPr="00530A3D">
        <w:rPr>
          <w:rFonts w:ascii="Times New Roman" w:eastAsia="Times New Roman" w:hAnsi="Times New Roman" w:cs="Times New Roman"/>
          <w:szCs w:val="24"/>
        </w:rPr>
        <w:t>b)</w:t>
      </w:r>
      <w:r w:rsidRPr="00530A3D">
        <w:rPr>
          <w:rFonts w:ascii="Times New Roman" w:eastAsia="Times New Roman" w:hAnsi="Times New Roman" w:cs="Times New Roman"/>
          <w:szCs w:val="24"/>
        </w:rPr>
        <w:tab/>
        <w:t>Prezes ARiMR – w przypadku gdy do rozpoznania sprawy nie została wyznaczona jednostka organizacyjna ARiMR,</w:t>
      </w:r>
    </w:p>
    <w:p w14:paraId="625CA1B1" w14:textId="77777777" w:rsidR="00F9038A" w:rsidRPr="00530A3D" w:rsidRDefault="00F9038A" w:rsidP="00530A3D">
      <w:pPr>
        <w:pStyle w:val="LITlitera"/>
        <w:ind w:left="1020" w:hanging="510"/>
        <w:rPr>
          <w:rFonts w:ascii="Times New Roman" w:eastAsia="Times New Roman" w:hAnsi="Times New Roman" w:cs="Times New Roman"/>
          <w:szCs w:val="24"/>
        </w:rPr>
      </w:pPr>
      <w:r w:rsidRPr="00530A3D">
        <w:rPr>
          <w:rFonts w:ascii="Times New Roman" w:eastAsia="Times New Roman" w:hAnsi="Times New Roman" w:cs="Times New Roman"/>
          <w:szCs w:val="24"/>
        </w:rPr>
        <w:t>c)</w:t>
      </w:r>
      <w:r w:rsidRPr="00530A3D">
        <w:rPr>
          <w:rFonts w:ascii="Times New Roman" w:eastAsia="Times New Roman" w:hAnsi="Times New Roman" w:cs="Times New Roman"/>
          <w:szCs w:val="24"/>
        </w:rPr>
        <w:tab/>
        <w:t>organ podmiotu wykonującego zadania delegowane – w przypadku pomocy finansowej przyznanej przez taki podmiot.</w:t>
      </w:r>
    </w:p>
    <w:p w14:paraId="16B3ECBA"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29 ust. 3 ustawy z dnia 9 maja 2008 r. o Agencji Restrukturyzacji i Modernizacji Rolnictwa zaproponowano, aby po wyrazach „ust. 2” dodać wyraz „pkt 1”, co jest konsekwencją zmiany zaproponowanej w art. 29 ust. 2 ustawy z dnia 9 maja 2008 r. o Agencji Restrukturyzacji i Modernizacji Rolnictwa.</w:t>
      </w:r>
    </w:p>
    <w:p w14:paraId="0F8D64DA"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Następnie w art. 31 ustawy z dnia 9 maja 2008 r. o Agencji Restrukturyzacji i Modernizacji Rolnictwa</w:t>
      </w:r>
      <w:r w:rsidRPr="00C543E1" w:rsidDel="006D1B5C">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w ust. 1, ust. 2 oraz ust. 2a zaproponowano skreślenie wyrazów „przez Prezesa Agencji albo inny organ właściwy do rozstrzygnięcia w sprawie przyznania płatności lub </w:t>
      </w:r>
      <w:r w:rsidRPr="00C543E1">
        <w:rPr>
          <w:rFonts w:ascii="Times New Roman" w:eastAsia="Times New Roman" w:hAnsi="Times New Roman"/>
          <w:sz w:val="24"/>
          <w:szCs w:val="24"/>
          <w:lang w:eastAsia="pl-PL"/>
        </w:rPr>
        <w:lastRenderedPageBreak/>
        <w:t>pomocy finansowej ze środków publicznych, o których mowa w art. 29 ust. 1”, co również jest podyktowane zaproponowanymi powyżej zmianami w art. 29 ustawy z dnia 9 maja 2008 r. o Agencji Restrukturyzacji i Modernizacji Rolnictwa. Ponadto zaproponowano zmiany wynikające z przepisów proponowanych w projekcie ustawy.</w:t>
      </w:r>
    </w:p>
    <w:p w14:paraId="3E62CB6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Zmiany w ustawie z dnia 27 sierpnia 2009 r. o finansach publicznych</w:t>
      </w:r>
    </w:p>
    <w:p w14:paraId="6F21D77A"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związku z wejściem w życie rozporządzenia 2021/2116 jest konieczna zmiana brzmienia art. 111 pkt 16 oraz art. 117 ust. 1 ustawy z dnia 27 sierpnia 2009 r. o finansach publicznych przez wprowadzenie w obu przepisach odwołania do rozporządzenia 2021/2116. Rozporządzenie 2021/2116 weszło w życie następnego dnia po jego ogłoszeniu w Dzienniku Urzędowym Unii Europejskiej i w omawianym zakresie jest stosowane od dnia 1 stycznia 2023 r.</w:t>
      </w:r>
    </w:p>
    <w:p w14:paraId="005451D8"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Zmiany w ustawie z dnia 8 marca 2013 r. o środkach ochrony roślin</w:t>
      </w:r>
    </w:p>
    <w:p w14:paraId="3DD47BF3"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hAnsi="Times New Roman"/>
          <w:sz w:val="24"/>
          <w:szCs w:val="24"/>
        </w:rPr>
        <w:t xml:space="preserve">Wprowadzenie zmiany w ustawie z dnia 8 marca 2013 r. o środkach ochrony roślin jest związane z uruchomieniem instrumentu wsparcia dla producentów stosujących integrowaną produkcję roślin, który będzie realizowany w ramach nowego rodzaju płatności, tzw. ekoschematów. </w:t>
      </w:r>
      <w:r w:rsidRPr="00C543E1">
        <w:rPr>
          <w:rFonts w:ascii="Times New Roman" w:eastAsia="Arial Narrow" w:hAnsi="Times New Roman"/>
          <w:sz w:val="24"/>
          <w:szCs w:val="24"/>
        </w:rPr>
        <w:t>W ramach ubiegania się o płatności w ramach e</w:t>
      </w:r>
      <w:r w:rsidRPr="00C543E1">
        <w:rPr>
          <w:rFonts w:ascii="Times New Roman" w:hAnsi="Times New Roman"/>
          <w:sz w:val="24"/>
          <w:szCs w:val="24"/>
        </w:rPr>
        <w:t xml:space="preserve">koschematu </w:t>
      </w:r>
      <w:r w:rsidRPr="00C543E1">
        <w:rPr>
          <w:rFonts w:ascii="Times New Roman" w:hAnsi="Times New Roman"/>
          <w:bCs/>
          <w:sz w:val="24"/>
          <w:szCs w:val="24"/>
          <w:lang w:eastAsia="pl-PL"/>
        </w:rPr>
        <w:t>w formie płatności do integrowanej</w:t>
      </w:r>
      <w:r w:rsidRPr="00C543E1">
        <w:rPr>
          <w:rFonts w:ascii="Times New Roman" w:hAnsi="Times New Roman"/>
          <w:sz w:val="24"/>
          <w:szCs w:val="24"/>
        </w:rPr>
        <w:t xml:space="preserve"> produkcji </w:t>
      </w:r>
      <w:r w:rsidRPr="00C543E1">
        <w:rPr>
          <w:rFonts w:ascii="Times New Roman" w:hAnsi="Times New Roman"/>
          <w:bCs/>
          <w:sz w:val="24"/>
          <w:szCs w:val="24"/>
          <w:lang w:eastAsia="pl-PL"/>
        </w:rPr>
        <w:t>roślin rolnik</w:t>
      </w:r>
      <w:r w:rsidRPr="00C543E1">
        <w:rPr>
          <w:rFonts w:ascii="Times New Roman" w:hAnsi="Times New Roman"/>
          <w:sz w:val="24"/>
          <w:szCs w:val="24"/>
        </w:rPr>
        <w:t>, który prowadzi integrowaną produkcję roślin, będzie mógł ubiegać się o przyznanie rocznej p</w:t>
      </w:r>
      <w:r w:rsidRPr="00C543E1">
        <w:rPr>
          <w:rFonts w:ascii="Times New Roman" w:eastAsia="Arial Narrow" w:hAnsi="Times New Roman"/>
          <w:sz w:val="24"/>
          <w:szCs w:val="24"/>
        </w:rPr>
        <w:t xml:space="preserve">łatności do gruntów, na których prowadzi taką produkcję. Warunkiem uzyskania takiej płatności będzie potwierdzenie prowadzenia integrowanej produkcji roślin przez podmiot certyfikujący. </w:t>
      </w:r>
      <w:r w:rsidRPr="00C543E1">
        <w:rPr>
          <w:rFonts w:ascii="Times New Roman" w:hAnsi="Times New Roman"/>
          <w:sz w:val="24"/>
          <w:szCs w:val="24"/>
        </w:rPr>
        <w:t xml:space="preserve">Obecnie zgodnie z art. 60 pkt 2 ww. ustawy podmiot certyfikujący jest obowiązany jedynie do przekazania wojewódzkiemu inspektorowi zestawienia wydanych w poprzednim roku kalendarzowym certyfikatów poświadczających stosowanie integrowanej produkcji roślin zawierających informacje i dane określone w art. 57 ust. 6 tej ustawy. Dlatego też </w:t>
      </w:r>
      <w:r w:rsidRPr="00C543E1">
        <w:rPr>
          <w:rFonts w:ascii="Times New Roman" w:eastAsia="Arial Narrow" w:hAnsi="Times New Roman"/>
          <w:sz w:val="24"/>
          <w:szCs w:val="24"/>
        </w:rPr>
        <w:t xml:space="preserve">należało </w:t>
      </w:r>
      <w:r w:rsidRPr="00C543E1">
        <w:rPr>
          <w:rFonts w:ascii="Times New Roman" w:hAnsi="Times New Roman"/>
          <w:sz w:val="24"/>
          <w:szCs w:val="24"/>
        </w:rPr>
        <w:t xml:space="preserve">stworzyć przepis, który regulowałby kwestie przekazywania przez podmiot certyfikujący na potrzeby ARiMR wykazu producentów roślin, którzy spełnili wymagania integrowanej produkcji roślin – będących producentami, o których mowa w ustawie z dnia 18 grudnia 2003 r. o krajowym systemie ewidencji producentów, ewidencji gospodarstw rolnych oraz ewidencji wniosków o przyznanie płatności. W projektowanych przepisach wskazuje się, że wykaz taki powinien zostać przekazany do dnia 30 września każdego roku. Ponadto projektowane przepisy regulują zakres informacji stanowiących dane osobowe, jakie powinny być przekazywane w tym wykazie na potrzeby udzielenia producentom roślin, którzy spełnili wymagania integrowanej produkcji roślin, pomocy finansowej z udziałem środków EFRROW lub EFRG oraz przewidują upoważnienie </w:t>
      </w:r>
      <w:r w:rsidRPr="00C543E1">
        <w:rPr>
          <w:rFonts w:ascii="Times New Roman" w:hAnsi="Times New Roman"/>
          <w:sz w:val="24"/>
          <w:szCs w:val="24"/>
        </w:rPr>
        <w:lastRenderedPageBreak/>
        <w:t xml:space="preserve">dla ministra do wydania rozporządzenia określającego szczegółowe informacje, jakie powinny zostać zawarte w tym wykazie, które nie stanowią danych osobowych. </w:t>
      </w:r>
      <w:r w:rsidRPr="00C543E1">
        <w:rPr>
          <w:rFonts w:ascii="Times New Roman" w:eastAsia="Times New Roman" w:hAnsi="Times New Roman"/>
          <w:sz w:val="24"/>
          <w:szCs w:val="24"/>
          <w:lang w:eastAsia="pl-PL"/>
        </w:rPr>
        <w:t>Ponadto proponuje się zapewnienie podmiotom certyfikującym dostępu do zasobów informacyjnych, jakimi administruje ARiMR w zakresie niezbędnym do przekazywania wykazu producentów spełniających wymagania integrowanej produkcji roślin.</w:t>
      </w:r>
    </w:p>
    <w:p w14:paraId="1BA3E0C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Zgodnie z art. 61 ust. 3 ustawy z dnia 8 marca 2013 r o środkach ochrony roślin podmiot certyfikujący, w przypadku stwierdzenia, w tym na podstawie informacji, o których mowa w ust. 2a ww. ustawy, że rośliny, dla których zostały wydane certyfikaty poświadczające stosowanie integrowanej produkcji roślin, zawierają przekroczenia najwyższych dopuszczalnych pozostałości środków ochrony roślin lub poziomów azotanów, azotynów lub metali ciężkich lub że rośliny te zostały wyprodukowane z rażącym naruszeniem przepisów ustawy, unieważnia certyfikaty wydane dla tych roślin. </w:t>
      </w:r>
    </w:p>
    <w:p w14:paraId="78F265A3"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Informacja taka powinna być wykorzystywana również przez ARiMR pod kątem m.</w:t>
      </w:r>
      <w:r w:rsidRPr="00C543E1">
        <w:rPr>
          <w:rFonts w:ascii="Times New Roman" w:hAnsi="Times New Roman"/>
          <w:sz w:val="24"/>
          <w:szCs w:val="24"/>
          <w:lang w:eastAsia="pl-PL"/>
        </w:rPr>
        <w:t xml:space="preserve">in. </w:t>
      </w:r>
      <w:r w:rsidRPr="00C543E1">
        <w:rPr>
          <w:rFonts w:ascii="Times New Roman" w:eastAsia="Times New Roman" w:hAnsi="Times New Roman"/>
          <w:sz w:val="24"/>
          <w:szCs w:val="24"/>
          <w:lang w:eastAsia="pl-PL"/>
        </w:rPr>
        <w:t>realizacji dwóch interwencji skierowanych do uczestników unijnych i krajowych systemów jakości żywności, w tym uczestników systemu integrowanej produkcji, o nazwie I. 13.3 „Promowanie, informowanie i marketing dotyczący żywności wytwarzanej w ramach systemów jakości żywności” oraz nazwie I. 13.4 „Rozwój współpracy producentów w ramach systemów jakości żywności” w ramach Planu Strategicznego. Posłuży ona do weryfikacji ważności certyfikatów składanych przez podmioty ubiegające się o przyznanie pomocy oraz beneficjentów ww. interwencji, będących uczestnikami systemu integrowanej produkcji. Ponadto zaproponowano zmiany wynikające z przepisów proponowanych w projekcie ustawy.</w:t>
      </w:r>
    </w:p>
    <w:p w14:paraId="06322564"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 xml:space="preserve">Zmiany w ustawie z dnia </w:t>
      </w:r>
      <w:r w:rsidRPr="00C543E1">
        <w:rPr>
          <w:rFonts w:ascii="Times New Roman" w:hAnsi="Times New Roman"/>
          <w:b/>
          <w:sz w:val="24"/>
          <w:szCs w:val="24"/>
        </w:rPr>
        <w:t>20 lutego 2015 r.</w:t>
      </w:r>
      <w:r w:rsidRPr="00C543E1">
        <w:rPr>
          <w:rFonts w:ascii="Times New Roman" w:hAnsi="Times New Roman"/>
          <w:sz w:val="24"/>
          <w:szCs w:val="24"/>
        </w:rPr>
        <w:t xml:space="preserve"> </w:t>
      </w:r>
      <w:r w:rsidRPr="00C543E1">
        <w:rPr>
          <w:rFonts w:ascii="Times New Roman" w:eastAsia="Times New Roman" w:hAnsi="Times New Roman"/>
          <w:b/>
          <w:sz w:val="24"/>
          <w:szCs w:val="24"/>
          <w:lang w:eastAsia="pl-PL"/>
        </w:rPr>
        <w:t>o rozwoju lokalnym z udziałem lokalnej społeczności</w:t>
      </w:r>
    </w:p>
    <w:p w14:paraId="4CD11484"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Zmiany przepisów ustawy z dnia 20 lutego 2015 r. o rozwoju lokalnym z udziałem lokalnej społeczności (ustawa o RLKS) zaproponowane w art. 138 projektowanej ustawy są kontynuacją zmian, które zostały wprowadzone ustawą z dnia 17 grudnia 2021 r. o zmianie niektórych ustaw w związku z przedłużeniem realizacji Programu Rozwoju Obszarów Wiejskich na lata 2014–2020 (Dz. U. z 2022 r. poz. 88).</w:t>
      </w:r>
    </w:p>
    <w:p w14:paraId="0C0CE5B9"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Projektowana zmiana ma na celu dostosowanie obecnych ram prawnych stanowiących podstawę do prawidłowej realizacji rozwoju lokalnego kierowanego przez społeczność (RLKS) w latach 2023–2027 oraz ujednolicenia zasad jego wdrażania w ramach poszczególnych </w:t>
      </w:r>
      <w:r w:rsidRPr="00C543E1">
        <w:rPr>
          <w:rFonts w:ascii="Times New Roman" w:eastAsia="Times New Roman" w:hAnsi="Times New Roman"/>
          <w:sz w:val="24"/>
          <w:szCs w:val="24"/>
          <w:lang w:eastAsia="pl-PL"/>
        </w:rPr>
        <w:lastRenderedPageBreak/>
        <w:t>programów. Zmiany w tym zakresie są również niezbędne z uwagi na prawidłowość wdrażania – przewidzianej w Planie Strategicznym – interwencji LEADER/</w:t>
      </w:r>
      <w:r w:rsidRPr="00C543E1" w:rsidDel="005D6D1D">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RLKS.</w:t>
      </w:r>
    </w:p>
    <w:p w14:paraId="65D58E8C"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Zmiana ustawy o RLKS z 17 grudnia 2021 r. miała ograniczony zakres. Dotyczyła ona m.in.: częściowej aktualizacji podstawy prawnej, wsparcia przygotowawczego oraz wyboru LSR w okresie przejściowym, tzn. w trakcie wdrażania wydłużonego PROW 2014–2020 – czyli jeszcze przed rozpoczęciem wdrażania Planu Strategicznego.</w:t>
      </w:r>
    </w:p>
    <w:p w14:paraId="4CCA6E5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Mając powyższe na uwadze oraz fakt, że po wyborze LSR w 2023 r. będzie możliwość rozpoczęcia ich wdrażania nie tylko w ramach interwencji LEADER – przewidzianej w Planie Strategicznym, ale przede wszystkim w ramach RLKS współfinansowanych także w ramach polityki spójności, tj. z Europejskiego Funduszu Rozwoju Regionalnego oraz Europejskiego Funduszu Społecznego Plus (w 10 województwach) zachodzi potrzeba nowelizacji ustawy o RLKS w zakresie:</w:t>
      </w:r>
    </w:p>
    <w:p w14:paraId="0CF9005E"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dostosowania jej przepisów do:</w:t>
      </w:r>
    </w:p>
    <w:p w14:paraId="478FBF0F" w14:textId="77777777" w:rsidR="00F9038A" w:rsidRPr="00C543E1" w:rsidRDefault="00F9038A" w:rsidP="00530A3D">
      <w:pPr>
        <w:pStyle w:val="Akapitzlist"/>
        <w:numPr>
          <w:ilvl w:val="0"/>
          <w:numId w:val="31"/>
        </w:numPr>
        <w:suppressAutoHyphens/>
        <w:autoSpaceDE w:val="0"/>
        <w:autoSpaceDN w:val="0"/>
        <w:adjustRightInd w:val="0"/>
        <w:spacing w:line="360" w:lineRule="auto"/>
        <w:ind w:left="102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rozporządzenia 2021/1060 i tym samym wykreślenia odesłań do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p>
    <w:p w14:paraId="70A18307" w14:textId="77777777" w:rsidR="00F9038A" w:rsidRPr="00C543E1" w:rsidRDefault="00F9038A" w:rsidP="00530A3D">
      <w:pPr>
        <w:pStyle w:val="Akapitzlist"/>
        <w:numPr>
          <w:ilvl w:val="0"/>
          <w:numId w:val="31"/>
        </w:numPr>
        <w:suppressAutoHyphens/>
        <w:autoSpaceDE w:val="0"/>
        <w:autoSpaceDN w:val="0"/>
        <w:adjustRightInd w:val="0"/>
        <w:spacing w:line="360" w:lineRule="auto"/>
        <w:ind w:left="102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projektowanej ustawy, która będzie określała podstawę prawną do udzielania wsparcia RLKS w ramach EFRROW na lata 2023–2027,</w:t>
      </w:r>
    </w:p>
    <w:p w14:paraId="7F2CA8E9" w14:textId="77777777" w:rsidR="00F9038A" w:rsidRPr="00C543E1" w:rsidRDefault="00F9038A" w:rsidP="00530A3D">
      <w:pPr>
        <w:pStyle w:val="Akapitzlist"/>
        <w:numPr>
          <w:ilvl w:val="0"/>
          <w:numId w:val="31"/>
        </w:numPr>
        <w:suppressAutoHyphens/>
        <w:autoSpaceDE w:val="0"/>
        <w:autoSpaceDN w:val="0"/>
        <w:adjustRightInd w:val="0"/>
        <w:spacing w:line="360" w:lineRule="auto"/>
        <w:ind w:left="102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ustawy z dnia 28 kwietnia 2022 r. o zasadach realizacji zadań finansowanych ze środków europejskich w perspektywie finansowej 2021–2027 (Dz. U. poz. 1079), zwanej dalej „ustawą wdrożeniową”, i tym samym wyłączenia spod regulacji ustawy o RLKS odesłań do przepisów ustawy z dnia 11 lipca 2014 r. o zasadach realizacji programów w zakresie polityki spójności finansowanych w perspektywie finansowej 2014–2020;</w:t>
      </w:r>
    </w:p>
    <w:p w14:paraId="6F58FF22"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określenia przepisów w zakresie statusu LGD po zakończeniu realizacji postanowień umowy ramowej;</w:t>
      </w:r>
    </w:p>
    <w:p w14:paraId="4440AB5F"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określenia w ustawie o RLKS podstawy do:</w:t>
      </w:r>
    </w:p>
    <w:p w14:paraId="7FFB2443" w14:textId="77777777" w:rsidR="00F9038A" w:rsidRPr="00C543E1" w:rsidRDefault="00F9038A" w:rsidP="00530A3D">
      <w:pPr>
        <w:pStyle w:val="Akapitzlist"/>
        <w:numPr>
          <w:ilvl w:val="0"/>
          <w:numId w:val="32"/>
        </w:numPr>
        <w:suppressAutoHyphens/>
        <w:autoSpaceDE w:val="0"/>
        <w:autoSpaceDN w:val="0"/>
        <w:adjustRightInd w:val="0"/>
        <w:spacing w:line="360" w:lineRule="auto"/>
        <w:ind w:left="102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wydawania przez ministra właściwego do spraw rozwoju wsi w uzgodnieniu z ministrem właściwym do spraw rozwoju regionalnego wspólnych wytycznych dla LGD w celu zapewnienia jednolitego i prawidłowego wykonywania przez LGD zadań związanych z realizacją LSR określonych w przepisach unijnych oraz w przepisach ustawy o RLKS,</w:t>
      </w:r>
    </w:p>
    <w:p w14:paraId="60AB2CDA" w14:textId="77777777" w:rsidR="00F9038A" w:rsidRPr="00C543E1" w:rsidRDefault="00F9038A" w:rsidP="00530A3D">
      <w:pPr>
        <w:pStyle w:val="Akapitzlist"/>
        <w:numPr>
          <w:ilvl w:val="0"/>
          <w:numId w:val="32"/>
        </w:numPr>
        <w:suppressAutoHyphens/>
        <w:autoSpaceDE w:val="0"/>
        <w:autoSpaceDN w:val="0"/>
        <w:adjustRightInd w:val="0"/>
        <w:spacing w:line="360" w:lineRule="auto"/>
        <w:ind w:left="102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przeprowadzania przez samorządy województw kontroli LGD, m.in. w zakresie realizacji LSR;</w:t>
      </w:r>
    </w:p>
    <w:p w14:paraId="21E4939E"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zobowiązania wszystkich LGD, samorządów województw, ministra do spraw rozwoju wsi, ministra do spraw rozwoju regionalnego oraz innych organów administracji rządowej i samorządowej do ścisłej współpracy przy realizacji zadań związanych z RLKS;</w:t>
      </w:r>
    </w:p>
    <w:p w14:paraId="58FFE7DE"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uchylenia podstawy prawnej do udzielenia wsparcia na operacje realizowane w ramach wsparcia przygotowawczego, o którym mowa w 35 ust. 1 lit. a rozporządzenia nr 1303/2013;</w:t>
      </w:r>
    </w:p>
    <w:p w14:paraId="6C6F16D3"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uproszczenia występujących w ustawie określeń, w tym nazwy odnoszącej się do wsparcia na wdrażanie operacji w LSR, wnioskodawcy, czy wniosków o udzielenie wsparcia przez zastosowanie odpowiednich skrótów tych nazw;</w:t>
      </w:r>
    </w:p>
    <w:p w14:paraId="7CCB7B0F"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uszczegółowienia przepisów dotyczących udzielania przez LGD grantów na realizację zadań służących osiągnięciu celu operacji przez grantobiorców;</w:t>
      </w:r>
    </w:p>
    <w:p w14:paraId="253CE98F"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uregulowania szczególnego trybu odwoławczego (protestu oraz skargi do sądu administracyjnego) jako prawa wnioskodawcy, z podziałem na etapy rozpatrywania protestów na poziomie LGD oraz zarządu województwa;</w:t>
      </w:r>
    </w:p>
    <w:p w14:paraId="2CD8D736"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uchylenia przepisu ograniczającego LGD do ubiegania się o udzielenie wsparcia na realizację operacji własnych przez LGD jedynie w sytuacji, w której nikt inny uprawniony do wsparcia nie zgłosił LGD zamiaru realizacji takiej operacji;</w:t>
      </w:r>
    </w:p>
    <w:p w14:paraId="15C4F84E"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określenia przepisów dotyczących harmonogramów naboru wniosków o wsparcie tworzonych przez LGD;</w:t>
      </w:r>
    </w:p>
    <w:p w14:paraId="407678F7" w14:textId="2234D89E"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określenia przepisów związanych z ogłaszaniem naborów wniosków o wsparcie na podstawie tworzonego na jego potrzeby przez LGD regulaminu naboru wniosków o wsparcie oraz przepisów, które określają co powinien zawierać regulamin, kiedy może być zmieniany oraz jaki jest tryb zmiany regulaminu;</w:t>
      </w:r>
    </w:p>
    <w:p w14:paraId="1C0B7127"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określenia przepisów dotyczących możliwości unieważniania naboru wniosków o wsparcie;</w:t>
      </w:r>
    </w:p>
    <w:p w14:paraId="7E009B56"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uchylenia przepisów określających miejsce składania wniosków o wsparcie;</w:t>
      </w:r>
    </w:p>
    <w:p w14:paraId="78543EF4" w14:textId="77777777" w:rsidR="00F9038A" w:rsidRPr="00C543E1" w:rsidRDefault="00F9038A" w:rsidP="00530A3D">
      <w:pPr>
        <w:pStyle w:val="Akapitzlist"/>
        <w:numPr>
          <w:ilvl w:val="0"/>
          <w:numId w:val="3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uszczegółowienia przepisów w zakresie procesu oceny wniosków o wsparcie, wyboru operacji, w tym terminy poszczególnych etapów procesu;</w:t>
      </w:r>
    </w:p>
    <w:p w14:paraId="53001BA3"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projektowana ustawa zachowuje stosowanie przepisów ustawy RLKS w dotychczasowym brzmieniu dla realizacji RLKS w ramach okresu programowania 2014–2020, także z uwzględnieniem przedłużenia tego okresu w ramach WPR o dwa lata (tzw. okres przejściowy w WPR) – art. 161 projektowanej ustawy.</w:t>
      </w:r>
    </w:p>
    <w:p w14:paraId="463125F0"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Podstawy prawne i umocowania w systemie instytucjonalnym</w:t>
      </w:r>
    </w:p>
    <w:p w14:paraId="66894D57"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Zastosowanie instrumentu RLKS nie ogranicza się do terenów wiejskich. Może być on wdrażany także w gminach miejsko-wiejskich, miejskich, jak również w dzielnicach miast. Ważny jest jednak przede wszystkim lokalny i zintegrowany charakter RLKS, zorientowanie </w:t>
      </w:r>
    </w:p>
    <w:p w14:paraId="3C68E4B0"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na obszary i grupy w niekorzystnej sytuacji oraz przede wszystkim zapewnienie LGD dostatecznej swobody w określaniu lokalnych wielowymiarowych priorytetów rozwojowych. Tym samym należy dostosować ustawę o RLKS tak, aby możliwe było realizowanie zróżnicowanych operacji, projektów lub inicjatyw w zakresach wsparcia objętych nie tylko WPR, ale także w ramach polityki spójności. Niezbędne zatem jest dostosowanie obecnych podstaw prawnych do rozporządzenia 2021/1060, ustawy wdrożeniowej oraz projektowanej ustawy.</w:t>
      </w:r>
    </w:p>
    <w:p w14:paraId="1F1A04DD"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Skutkuje to koniecznością wprowadzenia zmian w zakresie systemu instytucjonalnego dla RLKS, w tym właściwego umocowania podmiotowego do:</w:t>
      </w:r>
    </w:p>
    <w:p w14:paraId="44394C5B" w14:textId="77777777" w:rsidR="00F9038A" w:rsidRPr="00C543E1" w:rsidRDefault="00F9038A" w:rsidP="00530A3D">
      <w:pPr>
        <w:pStyle w:val="Akapitzlist"/>
        <w:numPr>
          <w:ilvl w:val="0"/>
          <w:numId w:val="33"/>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wydawania wytycznych przez ministra właściwego do spraw rozwoju wsi w uzgodnieniu z ministrem właściwym do spraw rozwoju regionalnego dla LGD w celu zapewnienia jednolitego i prawidłowego wykonywania przez LGD zadań związanych z realizacją LSR określonych w przepisach unijnych oraz w przepisach ustawy o RLKS;</w:t>
      </w:r>
    </w:p>
    <w:p w14:paraId="65331021" w14:textId="77777777" w:rsidR="00F9038A" w:rsidRPr="00C543E1" w:rsidRDefault="00F9038A" w:rsidP="00530A3D">
      <w:pPr>
        <w:pStyle w:val="Akapitzlist"/>
        <w:numPr>
          <w:ilvl w:val="0"/>
          <w:numId w:val="33"/>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przeprowadzania przez samorządy województw kontroli LGD, m.in. w zakresie realizacji LSR.</w:t>
      </w:r>
    </w:p>
    <w:p w14:paraId="72FEB05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Mając na uwadze konieczność zapewnienia sprawnego funkcjonowania systemu instytucjonalnego i właściwego wdrażania RLKS niezbędne wydaje się zobowiązanie do ścisłej współpracy wszystkich LGD, samorządów województw, ministra właściwego do spraw rozwoju wsi, ministra właściwego do spraw rozwoju regionalnego oraz innych organów administracji rządowej i samorządowej, o którym mowa w art. 138 pkt 7 projektowanej ustawy.</w:t>
      </w:r>
    </w:p>
    <w:p w14:paraId="2FC08241"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Wytyczne dla RLKS</w:t>
      </w:r>
    </w:p>
    <w:p w14:paraId="0751C05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Zarówno:</w:t>
      </w:r>
    </w:p>
    <w:p w14:paraId="664DBE4C" w14:textId="77777777" w:rsidR="00F9038A" w:rsidRPr="00C543E1" w:rsidRDefault="00F9038A" w:rsidP="00530A3D">
      <w:pPr>
        <w:pStyle w:val="Akapitzlist"/>
        <w:numPr>
          <w:ilvl w:val="0"/>
          <w:numId w:val="34"/>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minister właściwy do spraw rozwoju regionalnego, zgodnie z art. 4 ust. 2 pkt 2, art. 5 i art. 9 ust. 3 ustawy z dnia 28 kwietnia 2022 r. o zasadach realizacji zadań finansowanych ze środków europejskich w perspektywie finansowej 2021–2027, jak i</w:t>
      </w:r>
    </w:p>
    <w:p w14:paraId="4F8A55E1" w14:textId="77777777" w:rsidR="00F9038A" w:rsidRPr="00C543E1" w:rsidRDefault="00F9038A" w:rsidP="00530A3D">
      <w:pPr>
        <w:pStyle w:val="Akapitzlist"/>
        <w:numPr>
          <w:ilvl w:val="0"/>
          <w:numId w:val="34"/>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minister właściwy do spraw rozwoju wsi, zgodnie z art. 3, art. 6 i art. 8 projektowanej ustawy </w:t>
      </w:r>
    </w:p>
    <w:p w14:paraId="090D84A4"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mogą wydawać wytyczne, które będą miały zastosowanie do RLKS, jednak będą się ograniczać jedynie do RLKS w ramach polityki spójności (pkt 1 powyżej) albo do RLKS w ramach WPR (pkt 2 powyżej).</w:t>
      </w:r>
    </w:p>
    <w:p w14:paraId="66A62A45" w14:textId="7E7C3778"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Dlatego zgodnie z projektowanym art. 15a ustawy o RLKS proponuje się, aby obaj ministrowie, działając w porozumieniu, mogli wydać wspólne wytyczne, które mogłyby dotyczyć spraw wspólnych dla RLKS, niezależnie od tego,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w ramach której polityki i którego programu są realizowane. </w:t>
      </w:r>
    </w:p>
    <w:p w14:paraId="0FB076B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projektowanym art. 15a ust. 1 ustawy o RLKS, minister właściwy do spraw rozwoju wsi w porozumieniu z ministrem właściwym do spraw rozwoju regionalnego może wydawać LGD wytyczne w celu zapewnienia zgodności sposobu realizacji LSR z przepisami UE w zakresie RLKS, a także w celu zapewnienia jednolitego i prawidłowego wykonywania przez LGD zadań związanych z realizacją LSR określonych w tych przepisach oraz w przepisach ustawy o RLKS. Wytyczne te będą uwzględniały wspólne dla całego RLKS kwestie związane z ich wdrażaniem.</w:t>
      </w:r>
    </w:p>
    <w:p w14:paraId="7FC7995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Nadzór nad LGD</w:t>
      </w:r>
    </w:p>
    <w:p w14:paraId="27532575"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Art. 4 ust. 3 pkt 2 ustawy o RLKS oraz art. 15 ustawy z dnia 7 marca 2007 r. o wspieraniu rozwoju obszarów wiejskich z udziałem środków Europejskiego Funduszu Rolnego na rzecz Rozwoju Obszarów Wiejskich w ramach Programu Rozwoju Obszarów Wiejskich na lata 2007–2013 stanowią, że nadzór nad LGD sprawuje marszałek województwa. W projektowanej ustawie proponuje się dodanie w ustawie o RLKS, zgodnie z postulatami samorządów, art. 4b, który ma na celu zapewnienie podstawy prawnej dla marszałka województwa do poinformowania LGD o okolicznościach powodujących konieczność podjęcia przez LGD działań mających na celu zmianę organu nadzorującego, w przypadku gdy nie ma podstaw, aby LGD dalej działała na dotychczasowych zasadach. Zmiana statutu stowarzyszenia będzie odbywać się z uwzględnieniem obowiązujących przepisów w tym zakresie, tj. przepisów </w:t>
      </w:r>
      <w:r w:rsidRPr="00C543E1">
        <w:rPr>
          <w:rFonts w:ascii="Times New Roman" w:eastAsia="Times New Roman" w:hAnsi="Times New Roman"/>
          <w:sz w:val="24"/>
          <w:szCs w:val="24"/>
          <w:lang w:eastAsia="pl-PL"/>
        </w:rPr>
        <w:lastRenderedPageBreak/>
        <w:t>ustawy z dnia 7 kwietnia 1989 r. – Prawo o stowarzyszeniach (Dz. U. z 2020 r. poz. 2261). Zgodnie z art. 21 ustawy z dnia 7 kwietnia 1989 r. – Prawo o stowarzyszeniach, zarząd stowarzyszenia ma obowiązek niezwłocznie zawiadomić sąd rejestrowy o zmianie statutu. W sprawie wpisu zmiany statutu stowarzyszenia do Krajowego Rejestru Sądowego stosuje się odpowiednio zasady i tryb przewidziane dla wpisu stowarzyszenia do tego rejestru. Sąd rejestrowy dokonuje wpisu zmian statutu do Krajowego Rejestru Sądowego po stwierdzeniu, że są one zgodne z obowiązującym statutem. O wpisie zmiany statutu stowarzyszenia sąd zawiadamia właściwy organ nadzorujący, przesyłając mu odpis postanowienia i tekst jednolity zmienionego statutu. Oznacza to, że projektowane przepisy nie przyznają marszałkowi województwa dodatkowych kompetencji w postaci podstawy prawnej do wszczęcia postępowania mającego na celu zmianę organu nadzorującego, gdzie „wszczęcie postępowania” rozumiane jest jako złożenie do KRS wniosku o zmianę statutu LGD w zakresie podmiotu sprawującego nadzór nad działalnością stowarzyszenia, a jedynie dają marszałkowi województwa podstawę do spowodowania, że proces taki zostanie rozpoczęty przez LGD.</w:t>
      </w:r>
    </w:p>
    <w:p w14:paraId="3BD0B479"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Nadzór sprawowany przez marszałka województwa w odniesieniu do stowarzyszeń (LGD), które zakończą realizację umowy ramowej w przyszłości, powinien zostać przekazany właściwemu staroście. Nie ma bowiem uzasadnienia, aby marszałek województwa sprawował nadzór nad stowarzyszeniem, które w praktyce nie będzie realizowało zadań LGD. Z tego samego powodu proponuje się uchylenie art. 15 w ustawie z dnia 7 marca 2007 r. o wspieraniu rozwoju obszarów wiejskich z udziałem środków Europejskiego Funduszu Rolnego na rzecz Rozwoju Obszarów Wiejskich w ramach Programu Rozwoju Obszarów Wiejskich na lata 2007–2013, a w odniesieniu do stowarzyszeń, które nie spełniają przedmiotowych przesłanek w dniu wejścia w życie ustawy proponuje się przepis przejściowy (art. 159 projektowanej ustawy) przewidujący procedurę i terminy zmiany statutu polegającej na dostosowaniu go do przepisów ustawy z dnia 7 kwietnia 1989 r. – Prawo o stowarzyszeniach.</w:t>
      </w:r>
    </w:p>
    <w:p w14:paraId="50A85DEC"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projektowanym przepisie art. 4b proponuje się, aby marszałek województwa w terminie 2 miesięcy od dnia powzięcia informacji o okolicznościach, które świadczą o braku podstawy do prowadzenia działalności przez LGD na mocy przepisów ustawy o RLKS (zakończenie realizacji umowy ramowej), przekazał taką informację do właściwej LGD w celu powzięcia przez LGD czynności, które mają doprowadzić do zmiany statutu LGD, a tym samym organu nadzorującego. </w:t>
      </w:r>
    </w:p>
    <w:p w14:paraId="66280A03"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Na podstawie projektowanych przepisów LGD będą zobowiązane do zmiany statutu w celu dostosowania go do przepisów ustawy z dnia 7 kwietnia 1989 r. – Prawo o stowarzyszeniach, </w:t>
      </w:r>
      <w:r w:rsidRPr="00C543E1">
        <w:rPr>
          <w:rFonts w:ascii="Times New Roman" w:eastAsia="Times New Roman" w:hAnsi="Times New Roman"/>
          <w:sz w:val="24"/>
          <w:szCs w:val="24"/>
          <w:lang w:eastAsia="pl-PL"/>
        </w:rPr>
        <w:lastRenderedPageBreak/>
        <w:t>w terminie 2 miesięcy od dnia otrzymania informacji od marszałka województwa o wystąpieniu okoliczności, które świadczą o braku podstawy do dalszej działalności LGD na podstawie przepisów ustawy o RLKS. Zmiana statutu LGD w tym zakresie przez zgłoszenie do sądu rejestrowego będzie jednoznaczna z utratą statusu takiej LGD. Do postępowania LGD w zakresie zmiany statutu zastosowanie będą miały przepisy ustawy z dnia 7 kwietnia 1989 r. – Prawo o stowarzyszeniach i na ich podstawie będą uregulowane kwestie związane np. z osobami prawnymi, które są członkami zwyczajnymi LGD. W zaistniałej sytuacji staną się członkami stowarzyszenia zgodnie z przepisem art. 10 ust. 3 ustawy z dnia 7 kwietnia 1989 r. – Prawo o stowarzyszeniach. Ponadto, w przypadku, w którym zobowiązanie LGD do zmiany statutu nie zostałoby wypełnione, marszałek województwa będzie mógł żądać wyjaśnień od takiego stowarzyszenia i jednocześnie wystąpić z wnioskiem o rozwiązanie LGD do sądu rejestrowego na podstawie art. 29 ust. 1 pkt 3 ustawy z dnia 7 kwietnia 1989 r. – Prawo o stowarzyszeniach. Cała dokumentacja związana ze sprawowaniem nadzoru nad LGD przez marszałka województwa byłaby przekazywana do właściwego starosty, który przejmowałby obowiązki w tym zakresie.</w:t>
      </w:r>
    </w:p>
    <w:p w14:paraId="291508C8"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Kontrola LGD</w:t>
      </w:r>
    </w:p>
    <w:p w14:paraId="26FEA584"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Proponowany art. 15b ustawy o RLKS w art. 138 pkt 7 projektowanej ustawy wprowadza możliwość przeprowadzania przez zarząd województwa kontroli LSR, pod względem jej zgodności z przepisami prawa, wytycznymi wydanymi przez IZ oraz procedurami określonymi w LSR, a także pod względem osiągania wskaźników założonych w LSR. W rozdziale 6 projektowanej ustawy proponuje się uregulowanie w zakresie kontroli administracyjnej i kontroli na miejscu, które są przeprowadzane przez ARiMR i samorządy województw. Z kolei LGD przeprowadzają tylko wstępną weryfikację wniosków o przyznanie pomocy w zakresie zgodności z Planem strategicznym i LSR oraz ustalenia kwoty wsparcia. Projektowane przepisy ustawy o RLKS zakładają, że to LGD dokonują wyboru operacji przy zastosowaniu kryteriów wyboru operacji. Natomiast w projektowanej ustawie proponowane przepisy dotyczące kontroli administracyjnych obejmuje te elementy, których kontrola jest stosowna za pomocą właśnie kontroli administracyjnych. Oznacza to, że w ramach kontroli administracyjnej prowadzonej przez zarząd województwa operacje nie będą ponownie oceniane pod kątem zgodności z kryteriami wyboru. Przedmiotem kontroli administracyjnej wniosku o wsparcie na wdrażanie LSR będzie prawidłowość wyboru operacji przez LGD.</w:t>
      </w:r>
    </w:p>
    <w:p w14:paraId="12209006"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Likwidacja wspólnych przepisów dla wsparcia przygotowawczego</w:t>
      </w:r>
    </w:p>
    <w:p w14:paraId="0641EC35"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proponuje się uchylenie art. 16 ustawy o RLKS określającego wspólne warunki udzielenia wsparcia na operacje realizowane w ramach wsparcia przygotowawczego, o którym mowa w 35 ust. 1 lit. a rozporządzenia nr 1303/2013. Wynika to z braku potrzeby funkcjonowania tego przepisu z uwagi na jednorazowy w skali całego okresu programowania charakter udzielonego już wsparcia. Wsparcie przygotowawcze na przygotowanie LSR, które będą realizowane w latach 2023–2027, jest finansowane bowiem w ramach środków pochodzących z instrumentów finansowych wdrażanych w ramach okresu przejściowego, tj. w ramach PROW 2014–2020. Wynika również z aktualizacji i podstawy prawnej dla wdrażania RLKS w latach 2023–2027, którą jest rozporządzenie 2021/1060, a tym samym art. 16 utracił swoją moc prawną.</w:t>
      </w:r>
    </w:p>
    <w:p w14:paraId="2A0F5F4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Uproszczenia treści</w:t>
      </w:r>
    </w:p>
    <w:p w14:paraId="2AC81A10"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Dostosowując przepisy ustawy o RLKS do rozporządzenia 2021/1060, niezbędne jest jednoczesne wykreślenie odesłań do rozporządzenia nr 1303/2013, które w zakresie RLKS utraciło moc prawną. Analizując miejsca wymagające nowelizacji w tym zakresie, okazało się, że zachodzi potrzeba uproszczenia występujących wielokrotnie w ustawie określeń, w tym nazwy odnoszącej się do wsparcia na wdrażanie operacji w LSR, podmiotu ubiegającego się o przyznanie pomocy, czy wniosków o udzielenie wsparcia przez zastosowanie odpowiednich skrótów tych nazw. Proponuje się, aby je zastąpić odpowiednio sformułowaniami: wsparcie na wdrażanie LSR, wnioskodawca oraz wnioski o wsparcie.</w:t>
      </w:r>
    </w:p>
    <w:p w14:paraId="599CB2C6"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Operacje własne LGD</w:t>
      </w:r>
    </w:p>
    <w:p w14:paraId="6B834366"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Wprowadzając powyższe uproszczenia, zauważono również potrzebę uchylenia przepisu ograniczającego LGD w nowym okresie programowania do ubiegania się o udzielenie wsparcia na realizację operacji własnych przez LGD jedynie w sytuacji, w której nikt inny uprawniony do wsparcia nie zgłosił LGD zamiaru realizacji takiej operacji. Kwestie związane z operacjami własnymi LGD na lata 2023–2027 zostaną uregulowane na poziomie wytycznych szczegółowych w zakresie interwencji LEADER. Ponadto przepis przejściowy art. 161 projektowanej ustawy reguluje, że do realizacji RLKS, o którym mowa w części drugiej w tytule III w rozdziale II rozporządzenia nr 1303/2013, w tym również w ramach wsparcia na realizację operacji własnych, mają zastosowanie przepisy w dotychczasowym brzmieniu.</w:t>
      </w:r>
    </w:p>
    <w:p w14:paraId="25BD885B"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Operacje grantowe</w:t>
      </w:r>
    </w:p>
    <w:p w14:paraId="7324DEE7"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projektowanej ustawie w art. 138 pkt 9 lit. c określono regulacje dotyczące projektów grantowych, w tym co powinna zawierać umowa o powierzenie grantu, zadania grantobiorcy, kwotę grantu, czy warunki przekazania grantu. W przypadku realizacji operacji w zakresie projektów grantowych beneficjentem docelowym pomocy w ramach wsparcia jest LGD i to na tym podmiocie spoczywa odpowiedzialność za wybór grantobiorców, którzy prawidłowo zrealizują powierzone im zadania, co pozwoli na osiągnięcie celu projektu grantowego. Grantobiorca jest jedynie wykonawcą określonego zadania, analogicznie jak w przypadku każdej inne operacji, gdy beneficjent zleca wykonanie określonego zadania w ramach realizowanej operacji wybranemu przez siebie wykonawcy (np. firmie budowlanej w przypadku zadania o charakterze inwestycyjnym). Z kolei LGD jako beneficjent wsparcia powinna zapewnić wybranie takiego grantobiorcy, który zapewni sprawną realizację powierzonego mu zadania, tak aby w konsekwencji zostały spełnione warunki wypłaty pomocy dla LGD. Projektowane przepisy nie nakładają na LGD ograniczeń w zakresie zawierania określonych warunków realizacji zdań i zobowiązań grantobiorców na poziomie umowy o powierzeniu grantu. Katalog postanowień, jaki może zawierać umowa o powierzeniu grantu nie jest zamknięty, i może określać szczegółowe zobowiązania grantobiorcy, jak i określać za co odpowiada LGD. W przypadku zakwestionowania przez zarząd województwa poprawnej realizacji projektu grantowego, to LGD będzie odpowiadała za wszelkie nieprawidłowości, co jednocześnie zabezpiecza interes finansowy środków w ramach przedmiotowego wsparcia. </w:t>
      </w:r>
    </w:p>
    <w:p w14:paraId="68882792"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Wsparcie na koszty zarządzania</w:t>
      </w:r>
    </w:p>
    <w:p w14:paraId="4A62FC5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w art. 138 pkt 10 wprowadza się nowe brzmienie przepisu art. 18, z którego wynikają następujące warunki udzielenia wsparcia na koszty zarządzania LSR:</w:t>
      </w:r>
    </w:p>
    <w:p w14:paraId="5278139D" w14:textId="77777777" w:rsidR="00F9038A" w:rsidRPr="00C543E1" w:rsidRDefault="00F9038A" w:rsidP="00530A3D">
      <w:pPr>
        <w:pStyle w:val="Akapitzlist"/>
        <w:numPr>
          <w:ilvl w:val="0"/>
          <w:numId w:val="36"/>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LGD jest stroną umowy ramowej;</w:t>
      </w:r>
    </w:p>
    <w:p w14:paraId="63953EBB" w14:textId="77777777" w:rsidR="00F9038A" w:rsidRPr="00C543E1" w:rsidRDefault="00F9038A" w:rsidP="00530A3D">
      <w:pPr>
        <w:pStyle w:val="Akapitzlist"/>
        <w:numPr>
          <w:ilvl w:val="0"/>
          <w:numId w:val="36"/>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złożyła wniosek o wsparcie;</w:t>
      </w:r>
    </w:p>
    <w:p w14:paraId="6F947DD2" w14:textId="77777777" w:rsidR="00F9038A" w:rsidRPr="00C543E1" w:rsidRDefault="00F9038A" w:rsidP="00530A3D">
      <w:pPr>
        <w:pStyle w:val="Akapitzlist"/>
        <w:numPr>
          <w:ilvl w:val="0"/>
          <w:numId w:val="36"/>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są spełnione warunki udzielenia wsparcia dla poszczególnych funduszy, z których wsparcie to jest finansowane i określone:</w:t>
      </w:r>
    </w:p>
    <w:p w14:paraId="2EABE517" w14:textId="77777777" w:rsidR="00F9038A" w:rsidRPr="00C543E1" w:rsidRDefault="00F9038A" w:rsidP="00530A3D">
      <w:pPr>
        <w:pStyle w:val="Akapitzlist"/>
        <w:numPr>
          <w:ilvl w:val="0"/>
          <w:numId w:val="35"/>
        </w:numPr>
        <w:suppressAutoHyphens/>
        <w:autoSpaceDE w:val="0"/>
        <w:autoSpaceDN w:val="0"/>
        <w:adjustRightInd w:val="0"/>
        <w:spacing w:line="360" w:lineRule="auto"/>
        <w:ind w:left="102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przepisach (np. jeżeli ze środków EFRROW, to wynikające z projektowanej ustawy) lub</w:t>
      </w:r>
    </w:p>
    <w:p w14:paraId="13806A51" w14:textId="77777777" w:rsidR="00F9038A" w:rsidRPr="00C543E1" w:rsidRDefault="00F9038A" w:rsidP="00530A3D">
      <w:pPr>
        <w:pStyle w:val="Akapitzlist"/>
        <w:numPr>
          <w:ilvl w:val="0"/>
          <w:numId w:val="35"/>
        </w:numPr>
        <w:suppressAutoHyphens/>
        <w:autoSpaceDE w:val="0"/>
        <w:autoSpaceDN w:val="0"/>
        <w:adjustRightInd w:val="0"/>
        <w:spacing w:line="360" w:lineRule="auto"/>
        <w:ind w:left="102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aktach prawnych lub dokumentach wydanych na podstawie upoważnienia zawartego w tych przepisach (np. jeżeli ze środków EFRROW, to wynikające z wytycznych wydanych na podstawie przepisów o Planie Strategicznym);</w:t>
      </w:r>
    </w:p>
    <w:p w14:paraId="407B596D" w14:textId="77777777" w:rsidR="00F9038A" w:rsidRPr="00C543E1" w:rsidRDefault="00F9038A" w:rsidP="00530A3D">
      <w:pPr>
        <w:pStyle w:val="Akapitzlist"/>
        <w:numPr>
          <w:ilvl w:val="0"/>
          <w:numId w:val="36"/>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do wysokości środków przewidzianych w umowie ramowej na wsparcie w tym zakresie (czyli w zakresie środków na koszty zarządzania LSR).</w:t>
      </w:r>
    </w:p>
    <w:p w14:paraId="572286A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System wdrażania LSR – harmonogram naboru wniosków o wsparcie</w:t>
      </w:r>
    </w:p>
    <w:p w14:paraId="6295CA7A"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projektowanej ustawie proponuje się, aby LGD opracowywały harmonogram naborów wniosków o wsparcie w perspektywie jednego roku. Harmonogram ten będzie uzgadniany z zarządem województwa i w miarę potrzeby aktualizowany w trakcie roku, którego dotyczy. Wszelkie zmiany w harmonogramie będą musiały odbywać się z odpowiednim wyprzedzeniem, jednak szczegóły dotyczące uzgadniania i aktualizowania harmonogramu, jak również informacje oraz poziom szczegółowości harmonogramu będą określone w wytycznych na etapie wdrażania LSR. Proponuje się, aby aktualizacja była dokonywana przez LGD nie rzadziej niż na koniec każdego kwartału danego roku. Z uwagi na to, że harmonogram będzie obejmował informacje o planowanych naborach w perspektywie jednego roku, a więc będą to szczegółowe informacje, LGD, chcąc ogłosić nowy nabór wniosków o wsparcie, nie będzie zobligowana do osobnego uzgadniania terminu naborów. </w:t>
      </w:r>
    </w:p>
    <w:p w14:paraId="2785A188"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System wdrażania LSR – regulamin naboru wniosków o wsparcie</w:t>
      </w:r>
    </w:p>
    <w:p w14:paraId="4C92B7D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Mając na uwadze dotychczasowe doświadczenia we wdrażaniu interwencji LEADER w ramach RLKS oraz wdrażanie RLKS wielofunduszowego w 10 województwach, proponuje się odmienne od obecnego podejście do wdrażania LSR. W latach 2023–2027 proces udzielania wsparcia będzie odbywać się na podstawie regulaminu naboru wniosków o wsparcie. Regulamin ten będzie opracowywany przez LGD w uzgodnieniu z urzędami marszałkowskimi na podstawie wytycznych wydanych przez instytucję zarządzającą Planem Strategicznym oraz w przypadku programów regionalnych dla województw – przez ministra właściwego do spraw rozwoju regionalnego.</w:t>
      </w:r>
    </w:p>
    <w:p w14:paraId="33A4BB35"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ramach wytycznych szczegółowych dla interwencji LEADER, we współpracy z samorządami województw, zostaną opracowane wzory regulaminów naborów wniosków o wsparcie, które będą uzupełniane przez LGD merytorycznymi treściami – w zależności od potrzeb danego naboru wniosków o wsparcie. LGD, wykorzystując wzór, opracuje regulamin, który zgodnie z projektowaną ustawą będzie zawierał niezbędne informacje, w tym m.in.:</w:t>
      </w:r>
    </w:p>
    <w:p w14:paraId="51AEA7E2" w14:textId="77777777" w:rsidR="00F9038A" w:rsidRPr="00C543E1" w:rsidRDefault="00F9038A" w:rsidP="00530A3D">
      <w:pPr>
        <w:pStyle w:val="Akapitzlist"/>
        <w:numPr>
          <w:ilvl w:val="0"/>
          <w:numId w:val="37"/>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warunki udzielenia wparcia;</w:t>
      </w:r>
    </w:p>
    <w:p w14:paraId="346B7BD1" w14:textId="77777777" w:rsidR="00F9038A" w:rsidRPr="00C543E1" w:rsidRDefault="00F9038A" w:rsidP="00530A3D">
      <w:pPr>
        <w:pStyle w:val="Akapitzlist"/>
        <w:numPr>
          <w:ilvl w:val="0"/>
          <w:numId w:val="37"/>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kryteria wyboru operacji; </w:t>
      </w:r>
    </w:p>
    <w:p w14:paraId="1A79DE4A" w14:textId="77777777" w:rsidR="00F9038A" w:rsidRPr="00C543E1" w:rsidRDefault="00F9038A" w:rsidP="00530A3D">
      <w:pPr>
        <w:pStyle w:val="Akapitzlist"/>
        <w:numPr>
          <w:ilvl w:val="0"/>
          <w:numId w:val="37"/>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sposób i formę składania wniosków o wsparcie;</w:t>
      </w:r>
    </w:p>
    <w:p w14:paraId="50517CCC" w14:textId="77777777" w:rsidR="00F9038A" w:rsidRPr="00C543E1" w:rsidRDefault="00F9038A" w:rsidP="00530A3D">
      <w:pPr>
        <w:pStyle w:val="Akapitzlist"/>
        <w:numPr>
          <w:ilvl w:val="0"/>
          <w:numId w:val="37"/>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 xml:space="preserve">wszelkie aspekty mające wpływ na przyznanie wsparcia wymienione w projektowanych przepisach. </w:t>
      </w:r>
    </w:p>
    <w:p w14:paraId="612D75A0"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Każdy nabór wniosków dotyczyć będzie innych zakresów wsparcia, więc nie da się ustalić informacji w regulaminie tego elementu jako elementu stałego. Z uwagi na to, że jest to katalog otwarty, wytyczne poszczególnych IZ będą mogły wymagać dodatkowych elementów regulaminu. Założeniem jest, aby regulamin naboru wniosków o wsparcie możliwie kompleksowo przedstawiał informacje o zasadach uzyskania pomocy podmiotowi ubiegającemu się o wsparcie na wdrażanie LSR. Ponadto należy wyjaśnić, że w regulaminie dla każdego naboru LGD w perspektywie finansowej na lata 2023–2027 warunki udzielenia wsparcia będą rozumiane jako warunki z poziomu krajowego/regionalnego (tzn. z poziomu programu dla danego funduszu lub z poziomu powszechnie obowiązujących przepisów, ewentualnie wymogów określonych przez instytucje zarządzające), z kolei kryteria wyboru operacji będą rozumiane jako wszelkie wymogi ustanowione na poziomie lokalnym, na poziomie LSR/LGD, tj. szerzej w odniesieniu do okresu programowania na lata 2014–2020, a więc także jako dodatkowe, ustalone przez LGD wymogi warunkujące wybór operacji w danym konkursie, dotychczas ustanawiane zgodnie z art. 18a ustawy RLKS (uchylanym w art. 138 pkt 11 projektu ustawy).</w:t>
      </w:r>
    </w:p>
    <w:p w14:paraId="28065AF6"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Regulamin będzie przyjmowany przez LGD, po uprzednim jego uzgodnieniu z zarządem województwa, przed rozpoczęciem naboru wniosków o wsparcie. </w:t>
      </w:r>
    </w:p>
    <w:p w14:paraId="16DC4F0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Dopuszczono również możliwość zmiany tego regulaminu w uzasadnionych przypadkach, tj. gdy w naborze wniosków o wsparcie nie zostanie złożony żaden wniosek o wsparcie i zarząd województwa wyrazi na to zgodę. Zmiana regulaminu naboru wniosków o wsparcie może być również podyktowana odrębnymi przepisami.</w:t>
      </w:r>
    </w:p>
    <w:p w14:paraId="1CD1B510"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Wyjątkiem jest zmiana polegająca na zwiększeniu kwoty przeznaczonej na udzielenie wsparcia na wdrażanie LSR na operacje w ramach danego naboru wniosków o wsparcie, która może nastąpić w każdym momencie trwania naboru. </w:t>
      </w:r>
    </w:p>
    <w:p w14:paraId="341BECA6"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Zmiana regulaminu skutkuje wydłużeniem terminu składania wniosków o wsparcie o czas niezbędny do przygotowania wniosku o wsparcie i jego złożenia przez podmioty ubiegające się o wsparcie na wdrażanie LSR. </w:t>
      </w:r>
    </w:p>
    <w:p w14:paraId="2E525ADF"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Zmieniony regulamin wraz z nowym terminem naboru wniosków o wsparcie oraz uzasadnieniem zmian w tym regulaminie LGD udostępnia w tym samym miejscu, w którym </w:t>
      </w:r>
      <w:r w:rsidRPr="00C543E1">
        <w:rPr>
          <w:rFonts w:ascii="Times New Roman" w:eastAsia="Times New Roman" w:hAnsi="Times New Roman"/>
          <w:sz w:val="24"/>
          <w:szCs w:val="24"/>
          <w:lang w:eastAsia="pl-PL"/>
        </w:rPr>
        <w:lastRenderedPageBreak/>
        <w:t>został opublikowany regulamin w pierwotnej wersji ogłoszenia o naborze wniosków o wsparcie.</w:t>
      </w:r>
    </w:p>
    <w:p w14:paraId="2874EA31"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System wdrażania LSR – unieważnienie naboru wniosków o wsparcie</w:t>
      </w:r>
    </w:p>
    <w:p w14:paraId="284910BA"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zmianie ustawy o RLKS przewiduje się również możliwość unieważnienia naboru wniosków o wsparcie – po uzgodnieniu z zarządem województwa. Unieważnienie to może mieć miejsce w następujących przypadkach:</w:t>
      </w:r>
    </w:p>
    <w:p w14:paraId="16136885" w14:textId="77777777" w:rsidR="00F9038A" w:rsidRPr="00C543E1" w:rsidRDefault="00F9038A" w:rsidP="00530A3D">
      <w:pPr>
        <w:pStyle w:val="Akapitzlist"/>
        <w:numPr>
          <w:ilvl w:val="0"/>
          <w:numId w:val="38"/>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terminie składania wniosków o wsparcie nie złożono wniosku o wsparcie lub</w:t>
      </w:r>
    </w:p>
    <w:p w14:paraId="019D6B98" w14:textId="77777777" w:rsidR="00F9038A" w:rsidRPr="00C543E1" w:rsidRDefault="00F9038A" w:rsidP="00530A3D">
      <w:pPr>
        <w:pStyle w:val="Akapitzlist"/>
        <w:numPr>
          <w:ilvl w:val="0"/>
          <w:numId w:val="38"/>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wystąpiła istotna zmiana okoliczności powodująca, że wybór operacji nie leży w interesie publicznym, czego nie można było wcześniej przewidzieć, lub </w:t>
      </w:r>
    </w:p>
    <w:p w14:paraId="0F355F51" w14:textId="77777777" w:rsidR="00F9038A" w:rsidRPr="00C543E1" w:rsidRDefault="00F9038A" w:rsidP="00530A3D">
      <w:pPr>
        <w:pStyle w:val="Akapitzlist"/>
        <w:numPr>
          <w:ilvl w:val="0"/>
          <w:numId w:val="38"/>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postępowanie jest obarczone niemożliwą do usunięcia wadą prawną.</w:t>
      </w:r>
    </w:p>
    <w:p w14:paraId="0D9669A4"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proponuje się, aby LGD podawało do publicznej wiadomości informację o unieważnieniu naboru wniosków o wsparcie. Z kolei informacja taka nie może stanowić podstawy do wniesienia protestu przez podmiot ubiegający się o wsparcie na wdrażanie LSR.</w:t>
      </w:r>
    </w:p>
    <w:p w14:paraId="5E5F74EE"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Wybór operacji przez LGD</w:t>
      </w:r>
    </w:p>
    <w:p w14:paraId="0F15C770"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aby LGD dokonywało wyboru operacji spośród takich operacji, które:</w:t>
      </w:r>
    </w:p>
    <w:p w14:paraId="5190BDF2" w14:textId="77777777" w:rsidR="00F9038A" w:rsidRPr="00C543E1" w:rsidRDefault="00F9038A" w:rsidP="00530A3D">
      <w:pPr>
        <w:suppressAutoHyphens/>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1)</w:t>
      </w:r>
      <w:r w:rsidRPr="00C543E1">
        <w:rPr>
          <w:rFonts w:ascii="Times New Roman" w:eastAsia="Times New Roman" w:hAnsi="Times New Roman"/>
          <w:sz w:val="24"/>
          <w:szCs w:val="24"/>
          <w:lang w:eastAsia="pl-PL"/>
        </w:rPr>
        <w:tab/>
        <w:t>są objęte wnioskami o wsparcie złożonymi w terminie, miejscu oraz formie, o których mowa w ogłoszeniu o naborze wniosków o wsparcie,</w:t>
      </w:r>
    </w:p>
    <w:p w14:paraId="38D3D7D6" w14:textId="77777777" w:rsidR="00F9038A" w:rsidRPr="00C543E1" w:rsidRDefault="00F9038A" w:rsidP="00530A3D">
      <w:pPr>
        <w:suppressAutoHyphens/>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2)</w:t>
      </w:r>
      <w:r w:rsidRPr="00C543E1">
        <w:rPr>
          <w:rFonts w:ascii="Times New Roman" w:eastAsia="Times New Roman" w:hAnsi="Times New Roman"/>
          <w:sz w:val="24"/>
          <w:szCs w:val="24"/>
          <w:lang w:eastAsia="pl-PL"/>
        </w:rPr>
        <w:tab/>
        <w:t>spełniają warunki udzielenia wsparcia na wdrażanie LSR określone w regulaminie naboru wniosków o wsparcie</w:t>
      </w:r>
    </w:p>
    <w:p w14:paraId="320C0E4D"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przy zastosowaniu kryteriów wyboru operacji oraz do wysokości limitu środków przeznaczonych na udzielenie wsparcia na wdrażanie LSR w ramach naboru wniosków o wsparcie.</w:t>
      </w:r>
    </w:p>
    <w:p w14:paraId="138D667C"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Uzupełnienia wniosku o wsparcie</w:t>
      </w:r>
    </w:p>
    <w:p w14:paraId="32A1539A"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Zmiany ustawy o RLKS mają również na celu wyraźne oddzielenie roli LGD i zarządu województwa w procesie przyznawania wsparcia na wdrażanie LSR oraz rozpatrywania złożonych protestów.</w:t>
      </w:r>
    </w:p>
    <w:p w14:paraId="72110964"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LGD w ramach oceny wniosków o wsparcie weryfikuje warunki udzielenia wsparcia na wdrażanie LSR i ocenia spełnienie kryteriów wyboru operacji. Natomiast wyboru operacji LGD dokonuje spośród operacji, które spełnią warunku udzielenia wsparcia na wdrażanie LSR i przy zastosowaniu kryteriów wyboru operacji do wysokości środków przeznaczonych na udzielenie tego wsparcia w ramach danego naboru wniosków.</w:t>
      </w:r>
    </w:p>
    <w:p w14:paraId="12A2485A"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LGD będzie miało możliwość wezwania podmiotu ubiegającego się o wsparcie na wdrażanie LSR do złożenia wyjaśnień lub dokumentów niezbędnych do oceny wniosku o wsparcie. Z kolei wnioskodawca będzie obowiązany do przedstawienia dowodów i złożenia wyjaśnień niezbędnych do oceny wniosku o wsparcie, wyboru operacji lub ustalenia kwoty wsparcia na wdrażanie LSR zgodnie z prawdą.</w:t>
      </w:r>
    </w:p>
    <w:p w14:paraId="76BE6475"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przypadku spełnienia warunków udzielenia wsparcia na wdrażanie LSR LGD – w terminie 60 dni od dnia następującego po ostatnim dniu terminu składania wniosków o wsparcie – będzie obowiązana do przekazania zarządowi województwa dokumentacji potwierdzającej dokonanie wyboru operacji w odniesieniu do wniosków o wsparcie dotyczących wybranych operacji. </w:t>
      </w:r>
    </w:p>
    <w:p w14:paraId="0120CC73"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w tym samym czasie LGD będzie obowiązana do przekazania podmiotowi ubiegającemu się o wsparcie na wdrażanie LSR pisemnej informacji o wyniku oceny spełnienia warunków udzielenia wsparcia na wdrażanie LSR lub wyniku wyboru wniosków o wsparcie wraz z uzasadnieniem oceny i podaniem liczby punktów otrzymanych przez operację oraz wskazanie, czy w dniu przekazania wniosków o wsparcie do zarządu województwa operacja mieści się w limicie środków wskazanym w regulaminie naboru wniosków o wsparcie. Informacja przekazana wnioskodawcy będzie zawierała pouczenie o możliwości wniesienia protestu, jeżeli:</w:t>
      </w:r>
    </w:p>
    <w:p w14:paraId="625019A3" w14:textId="6066E6BC" w:rsidR="00F9038A" w:rsidRPr="00C543E1" w:rsidRDefault="00F9038A" w:rsidP="00530A3D">
      <w:pPr>
        <w:pStyle w:val="Akapitzlist"/>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1)</w:t>
      </w:r>
      <w:r w:rsidRPr="00C543E1">
        <w:rPr>
          <w:rFonts w:ascii="Times New Roman" w:eastAsia="Times New Roman" w:hAnsi="Times New Roman"/>
          <w:sz w:val="24"/>
          <w:szCs w:val="24"/>
          <w:lang w:eastAsia="pl-PL"/>
        </w:rPr>
        <w:tab/>
      </w:r>
      <w:bookmarkStart w:id="1" w:name="_Hlk124851428"/>
      <w:r w:rsidRPr="00C543E1">
        <w:rPr>
          <w:rFonts w:ascii="Times New Roman" w:eastAsia="Times New Roman" w:hAnsi="Times New Roman"/>
          <w:sz w:val="24"/>
          <w:szCs w:val="24"/>
          <w:lang w:eastAsia="pl-PL"/>
        </w:rPr>
        <w:t xml:space="preserve">nie są </w:t>
      </w:r>
      <w:bookmarkEnd w:id="1"/>
      <w:r w:rsidRPr="00C543E1">
        <w:rPr>
          <w:rFonts w:ascii="Times New Roman" w:eastAsia="Times New Roman" w:hAnsi="Times New Roman"/>
          <w:sz w:val="24"/>
          <w:szCs w:val="24"/>
          <w:lang w:eastAsia="pl-PL"/>
        </w:rPr>
        <w:t xml:space="preserve">spełnione warunki udzielenia wsparcia na wdrażanie LSR albo </w:t>
      </w:r>
    </w:p>
    <w:p w14:paraId="35F47575" w14:textId="77777777" w:rsidR="00F9038A" w:rsidRPr="00530A3D" w:rsidRDefault="00F9038A" w:rsidP="00530A3D">
      <w:pPr>
        <w:pStyle w:val="Akapitzlist"/>
        <w:suppressAutoHyphens/>
        <w:autoSpaceDE w:val="0"/>
        <w:autoSpaceDN w:val="0"/>
        <w:adjustRightInd w:val="0"/>
        <w:spacing w:line="360" w:lineRule="auto"/>
        <w:ind w:left="510" w:hanging="510"/>
        <w:rPr>
          <w:rFonts w:ascii="Times New Roman" w:eastAsia="Times New Roman" w:hAnsi="Times New Roman"/>
          <w:bCs/>
          <w:sz w:val="24"/>
          <w:szCs w:val="24"/>
        </w:rPr>
      </w:pPr>
      <w:r w:rsidRPr="00C543E1">
        <w:rPr>
          <w:rFonts w:ascii="Times New Roman" w:eastAsia="Times New Roman" w:hAnsi="Times New Roman"/>
          <w:sz w:val="24"/>
          <w:szCs w:val="24"/>
          <w:lang w:eastAsia="pl-PL"/>
        </w:rPr>
        <w:t>2)</w:t>
      </w:r>
      <w:r w:rsidRPr="00C543E1">
        <w:rPr>
          <w:rFonts w:ascii="Times New Roman" w:eastAsia="Times New Roman" w:hAnsi="Times New Roman"/>
          <w:sz w:val="24"/>
          <w:szCs w:val="24"/>
          <w:lang w:eastAsia="pl-PL"/>
        </w:rPr>
        <w:tab/>
        <w:t xml:space="preserve">operacja nie została wybrana, albo </w:t>
      </w:r>
    </w:p>
    <w:p w14:paraId="7E4AD660" w14:textId="66AEA31F" w:rsidR="00F9038A" w:rsidRPr="00C543E1" w:rsidRDefault="00F9038A" w:rsidP="00530A3D">
      <w:pPr>
        <w:pStyle w:val="Akapitzlist"/>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3)</w:t>
      </w:r>
      <w:r w:rsidR="007536A1">
        <w:rPr>
          <w:rFonts w:ascii="Times New Roman" w:eastAsia="Calibri" w:hAnsi="Times New Roman"/>
          <w:sz w:val="24"/>
          <w:szCs w:val="24"/>
        </w:rPr>
        <w:tab/>
      </w:r>
      <w:r w:rsidRPr="00C543E1">
        <w:rPr>
          <w:rFonts w:ascii="Times New Roman" w:eastAsia="Times New Roman" w:hAnsi="Times New Roman"/>
          <w:sz w:val="24"/>
          <w:szCs w:val="24"/>
          <w:lang w:eastAsia="pl-PL"/>
        </w:rPr>
        <w:t>operacja została wybrana, ale nie mieści się w limicie środków przeznaczonych na udzielenie wsparcia na wdrażanie LSR wskazanym w regulaminie naboru wniosków o wsparcie, albo</w:t>
      </w:r>
    </w:p>
    <w:p w14:paraId="180F2F04" w14:textId="77777777" w:rsidR="00F9038A" w:rsidRPr="00C543E1" w:rsidRDefault="00F9038A" w:rsidP="00530A3D">
      <w:pPr>
        <w:pStyle w:val="Akapitzlist"/>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4)</w:t>
      </w:r>
      <w:r w:rsidRPr="00C543E1">
        <w:rPr>
          <w:rFonts w:ascii="Times New Roman" w:eastAsia="Times New Roman" w:hAnsi="Times New Roman"/>
          <w:sz w:val="24"/>
          <w:szCs w:val="24"/>
          <w:lang w:eastAsia="pl-PL"/>
        </w:rPr>
        <w:tab/>
        <w:t>LGD ustaliła kwotę wsparcia niższą niż wnioskowana.</w:t>
      </w:r>
    </w:p>
    <w:p w14:paraId="198B75F6"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Pouczenie to będzie określać:</w:t>
      </w:r>
    </w:p>
    <w:p w14:paraId="1639191D" w14:textId="77777777" w:rsidR="00F9038A" w:rsidRPr="00C543E1" w:rsidRDefault="00F9038A" w:rsidP="00530A3D">
      <w:pPr>
        <w:suppressAutoHyphens/>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1)</w:t>
      </w:r>
      <w:r w:rsidRPr="00C543E1">
        <w:rPr>
          <w:rFonts w:ascii="Times New Roman" w:eastAsia="Times New Roman" w:hAnsi="Times New Roman"/>
          <w:sz w:val="24"/>
          <w:szCs w:val="24"/>
          <w:lang w:eastAsia="pl-PL"/>
        </w:rPr>
        <w:tab/>
        <w:t>termin do wniesienia protestu;</w:t>
      </w:r>
    </w:p>
    <w:p w14:paraId="27853099" w14:textId="77777777" w:rsidR="00F9038A" w:rsidRPr="00C543E1" w:rsidRDefault="00F9038A" w:rsidP="00530A3D">
      <w:pPr>
        <w:suppressAutoHyphens/>
        <w:autoSpaceDE w:val="0"/>
        <w:autoSpaceDN w:val="0"/>
        <w:adjustRightInd w:val="0"/>
        <w:spacing w:after="0"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2)</w:t>
      </w:r>
      <w:r w:rsidRPr="00C543E1">
        <w:rPr>
          <w:rFonts w:ascii="Times New Roman" w:eastAsia="Times New Roman" w:hAnsi="Times New Roman"/>
          <w:sz w:val="24"/>
          <w:szCs w:val="24"/>
          <w:lang w:eastAsia="pl-PL"/>
        </w:rPr>
        <w:tab/>
        <w:t>zarząd województwa, do którego należy wnieść protest;</w:t>
      </w:r>
    </w:p>
    <w:p w14:paraId="3BA626DD" w14:textId="77777777" w:rsidR="00F9038A" w:rsidRPr="00C543E1" w:rsidRDefault="00F9038A" w:rsidP="00530A3D">
      <w:pPr>
        <w:pStyle w:val="Akapitzlist"/>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3)</w:t>
      </w:r>
      <w:r w:rsidRPr="00C543E1">
        <w:rPr>
          <w:rFonts w:ascii="Times New Roman" w:eastAsia="Times New Roman" w:hAnsi="Times New Roman"/>
          <w:sz w:val="24"/>
          <w:szCs w:val="24"/>
          <w:lang w:eastAsia="pl-PL"/>
        </w:rPr>
        <w:tab/>
        <w:t>formalne wymogi wnoszonego protestu.</w:t>
      </w:r>
    </w:p>
    <w:p w14:paraId="702DB87C"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Oprócz tego LGD będzie zobligowana w tym samym terminie, tj. 60 dni, zamieścić na swojej stronie internetowej listę operacji spełniających warunki udzielenia wsparcia na wdrażanie LSR oraz listę operacji wybranych ze wskazaniem, które z operacji mieszczą się w limicie środków wskazanym w regulaminie naboru wniosków o wsparcie.</w:t>
      </w:r>
    </w:p>
    <w:p w14:paraId="250B62D6"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Protesty</w:t>
      </w:r>
    </w:p>
    <w:p w14:paraId="40DB73E6"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Wnioskodawca, w terminie 7 dni od dnia otrzymania informacji od LGD, może wnieść protest od negatywnego wyniku oceny spełnienia warunków udzielenia wsparcia, od wyniku oceny spełnienia kryteriów wyboru, który powoduje, że operacja nie została wybrana albo nie mieści się w limicie środków wskazanym w regulaminie naboru wniosków o wsparcie. Istotne jest to, że sama okoliczność braku środków dla danej operacji nie będzie stanowić podstawy do wniesieniu protestu. </w:t>
      </w:r>
    </w:p>
    <w:p w14:paraId="3DFA1552"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Protest będzie musiał zawierać niezbędne elementy, które są konieczne do tego, aby można było rozpatrzeć wniosek, którego dotyczy protest. Oprócz oznaczenia zarządu województwa właściwego do rozpatrzenia protestu, oznaczenia wnioskodawcy, podania numeru wniosku o wsparcie, numeru naboru wniosków o wsparcie oraz podpisu, zainteresowany podmiot wskazuje warunki udzielenia wsparcia lub kryteria wyboru operacji, z których oceną się nie zgadza, wraz z uzasadnieniem lub wskazanie, w jakim zakresie się nie zgadza z ustaleniem przez LGD kwoty wsparcia niższej niż wnioskowana. Protest może również zawierać wskazanie zarzutów o charakterze proceduralnym w zakresie przeprowadzonej oceny, jeżeli zdaniem podmiotu ubiegającego się o wsparcie na wdrażanie LSR naruszenia takie mogły mieć wpływ na rozstrzygnięcie, wraz z uzasadnieniem.</w:t>
      </w:r>
    </w:p>
    <w:p w14:paraId="3E10D1A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Jeżeli protest nie spełnia wymogów formalnych, LGD wzywa wnioskodawcę do jego uzupełnienia lub poprawienia w nim oczywistych omyłek w terminie 7 dni od dnia otrzymania wezwania, pod rygorem pozostawienia protestu bez rozpatrzenia. Wnioskodawca może uzupełnić wyłącznie wymogi formalne. Istotne jest to, że czas uzupełnienia wniosku o wsparcie wstrzymuje bieg terminu rozpatrywania protestu, natomiast pozostałe wnioski o wsparcie mogą być rozpatrywane przez zarząd województwa niezależnie od wniesionego protestu. Wnioskodawca wnosi protest za pośrednictwem LGD, która w terminie 14 dni weryfikuje wyniki dokonanej przez siebie oceny operacji w zakresie warunków, kryteriów i zarzutów, o których mowa w proteście. O wniesionym proteście LGD jest obowiązana powiadomić zarząd województwa w terminie 7 dni. LGD w wyniku wniesionego protestu może dokonać zmian podjętego rozstrzygnięcia, co będzie skutkowało skierowaniem tego projektu do właściwego etapu oceny lub aktualizacji listy, jeżeli warunki udzielenia wsparcia na wdrażanie LSR lub kryteria wyboru operacji, których pozytywna ocena ma wpływ na wybór operacji, są spełnione albo podtrzymuje swoje pierwotne stanowisko i kieruje protest wraz z dokumentacją otrzymaną od wnioskodawcy do zarządu województwa, załączając swoją opinię dotyczącą braku podstaw do zmiany podjętego rozstrzygnięcia w wyniku wniesionego protestu. W obu przypadkach </w:t>
      </w:r>
      <w:r w:rsidRPr="00C543E1">
        <w:rPr>
          <w:rFonts w:ascii="Times New Roman" w:eastAsia="Times New Roman" w:hAnsi="Times New Roman"/>
          <w:sz w:val="24"/>
          <w:szCs w:val="24"/>
          <w:lang w:eastAsia="pl-PL"/>
        </w:rPr>
        <w:lastRenderedPageBreak/>
        <w:t xml:space="preserve">LGD informuje o tym wnioskodawcę, a w przypadku zmiany podjętego rozstrzygnięcia LGD dodatkowo informuje o tym zarząd województwa. </w:t>
      </w:r>
    </w:p>
    <w:p w14:paraId="26484FA9"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przypadku skierowania przez LGD protestu do zarządu województwa, zarząd rozpatruje protest, weryfikując prawidłowość oceny projektu w określonym zakresie w terminie nie dłuższym niż 21 dni, licząc od dnia jego otrzymania. W uzasadnionych przypadkach, w szczególności gdy w trakcie rozpatrywania protestu jest konieczne skorzystanie z pomocy ekspertów, termin rozpatrzenia protestu może być przedłużony, o czym zarząd województwa na piśmie informuje wnioskodawcę. Termin rozpatrzenia protestu nie może przekroczyć łącznie 45 dni od dnia jego otrzymania. O wyniku rozpatrzenia protestu zarząd województwa informuje wnioskodawcę, a w przypadku nieuwzględnienia protestu dodatkowo poucza go o możliwości wniesienia skargi do sądu administracyjnego.</w:t>
      </w:r>
    </w:p>
    <w:p w14:paraId="3F24C542"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przypadku uwzględnienia protestu zarząd województwa kieruje wniosek z powrotem do LGD, w zależności od sytuacji w celu:</w:t>
      </w:r>
    </w:p>
    <w:p w14:paraId="00B05E08" w14:textId="77777777" w:rsidR="00F9038A" w:rsidRPr="00C543E1" w:rsidRDefault="00F9038A" w:rsidP="00530A3D">
      <w:pPr>
        <w:pStyle w:val="Akapitzlist"/>
        <w:numPr>
          <w:ilvl w:val="0"/>
          <w:numId w:val="39"/>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uwzględnienia stanowiska zarządu województwa w zakresie spełnienia warunków udzielenia wsparcia na wdrażanie LSR i dokonania oceny operacji przy zastosowaniu kryteriów wyboru operacji w przypadku gdy uwzględnienie protestu dotyczy spełnienia warunków udzielenia wsparcia na wdrażanie LSR określonych w regulaminie naboru wniosków o wsparcie i dalszego procedowania wniosku o wsparcie, wykorzystując ścieżkę weryfikacji wniosków o wsparcie, jak w przypadku wniosków o wsparcie, do których protestów nie wniesiono;</w:t>
      </w:r>
    </w:p>
    <w:p w14:paraId="0913FF59" w14:textId="77777777" w:rsidR="00F9038A" w:rsidRPr="00C543E1" w:rsidRDefault="00F9038A" w:rsidP="00530A3D">
      <w:pPr>
        <w:pStyle w:val="Akapitzlist"/>
        <w:numPr>
          <w:ilvl w:val="0"/>
          <w:numId w:val="39"/>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ponownej oceny operacji w zakresie kryteriów wyboru operacji lub w zakresie ustalenia kwoty wsparcia, z których oceną lub ustaleniem wnioskodawca nie zgadza się oraz aktualizacji listy w przypadku, gdy uwzględnienie protestu dotyczy spełnienia kryteriów wyboru operacji określonych w regulaminie naboru wniosków o wsparcie, informując na piśmie ten podmiot o przekazaniu sprawy – a jeżeli ponowna ocena operacji dokonana przez LGD będzie negatywna, do informacji LGD załącza dodatkowo pouczenie o możliwości wniesienia skargi do sądu administracyjnego.</w:t>
      </w:r>
    </w:p>
    <w:p w14:paraId="5F37B3C7"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Wnioskodawca ma możliwość wycofania protestu do czasu zakończenia rozpatrywania protestu przez zarząd województwa – podmiot ten składa odpowiednio właściwej LGD albo właściwemu zarządowi województwa pisemne oświadczenie. W przypadku wycofania protestu przez wnioskodawcę protest pozostawia się bez rozpatrzenia. Składający protest, wycofując go, godzi się z tym, że nie ma możliwości ponownego jego wniesienia oraz ewentualnego wniesienia skargi do sądu administracyjnego.</w:t>
      </w:r>
    </w:p>
    <w:p w14:paraId="76F8B258"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Protest pozostaje również bez rozpatrzenia, jeżeli został wniesiony po terminie lub bez spełnienia wymogów dotyczących wskazania warunków udzielenia wsparcia na wdrażanie LSR lub kryteriów wyboru operacji określonych w regulaminie naboru wniosków o wsparcie, z których oceną wnioskodawca nie zgadza się albo bez wskazania zarzutów o charakterze proceduralnym. Wówczas LGD informuje o tym zainteresowany podmiot. Pozostawienie protestu bez rozpatrzenia ma również miejsce wówczas, jeżeli wnioskodawca jest wykluczony z możliwości otrzymania wsparcia na wdrażanie LSR, o czym zarząd województwa informuje go na piśmie. We wskazanych przypadkach pozostawienia protestu bez rozpatrzenia informuje się zainteresowany podmiot o możliwości wniesienia skargi do sądu administracyjnego. Protest pozostawia się również bez rozpatrzenia, jeżeli na jakimkolwiek etapie postępowania w zakresie procedury odwoławczej zostanie wyczerpana kwota środków, o których mowa w art. 34 ust. 1 lit. b rozporządzenia 2021/1060, przewidzianych w umowie ramowej na realizację LSR w ramach środków pochodzących z danego EFSI.</w:t>
      </w:r>
    </w:p>
    <w:p w14:paraId="3DDEC26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Procedura odwoławcza, o której mowa powyżej, nie wstrzymuje zawierania umów z wnioskodawcami, których operacje zostały wybrane przez LGD, z wyjątkiem przypadku gdy zostaje wniesiony protest od warunków udzielenia wsparcia na wdrażanie LSR do czasu uwzględnienia przez LGD stanowiska zarządu województwa.</w:t>
      </w:r>
    </w:p>
    <w:p w14:paraId="25D564CE"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Proponuje się również, aby w rozpatrywaniu protestu, weryfikacji oceny operacji w zakresie warunków udzielenia wsparcia na wdrażanie LSR lub kryteriów wyboru operacji określonych w regulaminie naboru wniosków o wsparcie oraz zarzutów o charakterze proceduralnym, jak również w przypadku ponownej oceny w zakresie kryteriów wyboru operacji przez LGD, nie brały udziału osoby, które były zaangażowane w przygotowanie operacji. Proponuje się też, aby odpowiednie zastosowanie w tym zakresie miały przepisy Kpa dotyczące wyłączenia od udziału w postępowaniu. </w:t>
      </w:r>
    </w:p>
    <w:p w14:paraId="0688F5D3"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Skarga do sądu administracyjnego</w:t>
      </w:r>
    </w:p>
    <w:p w14:paraId="4F4B61F7"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przypadku nieuwzględnienia protestu, ponownej negatywnej oceny operacji lub pozostawienia protestu bez rozpatrzenia proponuje się możliwość wniesienia przez wnioskodawcę skargi do sądu administracyjnego zgodnie z art. 3 § 3 ustawy z dnia 30 sierpnia 2002 r. – Prawo o postępowaniu przed sądami administracyjnymi.</w:t>
      </w:r>
    </w:p>
    <w:p w14:paraId="19FA110E"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Skargę taką wnioskodawca może wnieść bezpośrednio do wojewódzkiego sądu administracyjnego w terminie 14 dni od dnia otrzymania informacji o nieuwzględnieniu protestu, ponownej negatywnej oceny operacji lub pozostawieniu protestu bez rozpatrzenia </w:t>
      </w:r>
      <w:r w:rsidRPr="00C543E1">
        <w:rPr>
          <w:rFonts w:ascii="Times New Roman" w:eastAsia="Times New Roman" w:hAnsi="Times New Roman"/>
          <w:sz w:val="24"/>
          <w:szCs w:val="24"/>
          <w:lang w:eastAsia="pl-PL"/>
        </w:rPr>
        <w:lastRenderedPageBreak/>
        <w:t>albo od dnia upływu terminu na uzupełnienie protestu lub poprawienia w nim oczywistych omyłek, wraz z kompletną dokumentacją w sprawie, która obejmuje:</w:t>
      </w:r>
    </w:p>
    <w:p w14:paraId="296D1523" w14:textId="77777777" w:rsidR="00F9038A" w:rsidRPr="00C543E1" w:rsidRDefault="00F9038A" w:rsidP="00530A3D">
      <w:pPr>
        <w:pStyle w:val="Akapitzlist"/>
        <w:numPr>
          <w:ilvl w:val="0"/>
          <w:numId w:val="4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wniosek o wsparcie;</w:t>
      </w:r>
    </w:p>
    <w:p w14:paraId="58D0AB64" w14:textId="77777777" w:rsidR="00F9038A" w:rsidRPr="00C543E1" w:rsidRDefault="00F9038A" w:rsidP="00530A3D">
      <w:pPr>
        <w:pStyle w:val="Akapitzlist"/>
        <w:numPr>
          <w:ilvl w:val="0"/>
          <w:numId w:val="4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informację o wynikach wyboru operacji;</w:t>
      </w:r>
    </w:p>
    <w:p w14:paraId="584C06B3" w14:textId="77777777" w:rsidR="00F9038A" w:rsidRPr="00C543E1" w:rsidRDefault="00F9038A" w:rsidP="00530A3D">
      <w:pPr>
        <w:pStyle w:val="Akapitzlist"/>
        <w:numPr>
          <w:ilvl w:val="0"/>
          <w:numId w:val="4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wniesiony protest;</w:t>
      </w:r>
    </w:p>
    <w:p w14:paraId="77A9E607" w14:textId="77777777" w:rsidR="00F9038A" w:rsidRPr="00C543E1" w:rsidRDefault="00F9038A" w:rsidP="00530A3D">
      <w:pPr>
        <w:pStyle w:val="Akapitzlist"/>
        <w:numPr>
          <w:ilvl w:val="0"/>
          <w:numId w:val="40"/>
        </w:numPr>
        <w:suppressAutoHyphens/>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informacje będące podstawą do wniesienia skargi.</w:t>
      </w:r>
    </w:p>
    <w:p w14:paraId="4BEA950D"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proponowanymi przepisami wojewódzki sąd administracyjny ma 30 dni na rozpatrzenie skargi od dnia jej wniesienia. Pozostawia ją bez rozpatrzenia, jeżeli zostanie wniesiona po terminie, bez kompletnej dokumentacji lub bez uiszczenia wpisu stałego. Możliwe też jest wezwanie do uzupełnienia przez podmiot ubiegający się o wsparcie na wdrażanie LSR dokumentacji w sprawie lub do uiszczenia wpisu w terminie 7 dni od dnia otrzymania wezwania. W przypadku nie wywiązania się z przedmiotowych czynności skargę pozostawia się bez rozpatrzenia. Sąd może uwzględnić skargę, stwierdzając naruszenie prawa w zakresie oceny operacji lub pozostawić protest bez rozpatrzenia i tym samym przekazać sprawę do ponownego rozpatrzenia odpowiednio przez LGD lub zarząd województwa. Może również oddalić skargę albo umorzyć postępowanie w sprawie w przypadku jej bezprzedmiotowości.</w:t>
      </w:r>
    </w:p>
    <w:p w14:paraId="0164ECF7"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Skarga do Naczelnego Sądu Administracyjnego (NSA)</w:t>
      </w:r>
    </w:p>
    <w:p w14:paraId="17E38006"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Mając na uwadze rozstrzygnięcie w zakresie złożonej skargi do wojewódzkiego sądu administracyjnego proponuje się uregulować przepisy umożliwiające złożenie skargi kasacyjnej do NSA przez wnioskodawcę, zarząd województwa oraz LGD w terminie 14 dni od dnia doręczenia tego rozstrzygnięcia. Przedmiotowa skarga jest rozpatrywana w terminie 30 dni od dnia jej wniesienia przez zainteresowany podmiot. </w:t>
      </w:r>
    </w:p>
    <w:p w14:paraId="0DB313D1"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Ogólne regulacje dotyczące procedury odwoławczej</w:t>
      </w:r>
    </w:p>
    <w:p w14:paraId="2A0BE94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aby w zakresie nieuregulowanym w ustawie o RLKS do postępowania przed sądami administracyjnymi miały zastosowanie przepisy ustawy z dnia 30 sierpnia 2002 r. –Prawo o postępowaniu przed sądami administracyjnymi określone dla aktów lub czynności z zakresu administracji publicznej dotyczące uprawnień lub obowiązków wynikających z przepisów prawa, z wyłączeniem aktów lub czynności podjętych w ramach postępowania administracyjnego określonego w Kpa, z wyjątkiem niektórych regulacji ww. ustawy w zakresie szczegółowego postępowania ze skargami.</w:t>
      </w:r>
    </w:p>
    <w:p w14:paraId="2601B275"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 xml:space="preserve">Proponuje się, aby na prawo wnioskodawcy do wniesienia skargi do sądu administracyjnego nie miało negatywnego wpływu błędne pouczenie lub brak pouczenia o możliwych środkach odwoławczych przysługujących wnioskodawcy. </w:t>
      </w:r>
    </w:p>
    <w:p w14:paraId="2A280A49"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też, aby procedura odwoławcza nie wstrzymywała zawierania umów z wnioskodawcami. Z kolei w przypadku wniesionego protestu od warunków udzielenia wsparcia na wdrażanie LSR wstrzymuje się zawieranie umów z wnioskodawcami, których operacje zostały wybrane przez LGD do dnia uwzględnienia przez LGD stanowiska zarządu województwa.</w:t>
      </w:r>
    </w:p>
    <w:p w14:paraId="5D1F5132"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Procedurę odwoławczą kończy prawomocne rozstrzygnięcie sądu administracyjnego polegające na oddaleniu skargi, odrzuceniu skargi albo pozostawieniu skargi bez rozpatrzenia. Powyższe będzie miało również wpływ na zakończenie procedury wyboru operacji.</w:t>
      </w:r>
    </w:p>
    <w:p w14:paraId="157AD5FA"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przypadku wyczerpania kwoty środków, o których mowa w art. 34 ust. 1 lit. b rozporządzenia 2021/106, przewidzianych w umowie ramowej na realizację LSR w ramach środków pochodzących z danego EFSI, LGD lub zarząd województwa mogą pozostawić protest bez rozpatrzenia, pouczając o możliwości wniesienia skargi do sądu administracyjnego. W przypadku uwzględnienia skargi przez sąd, może on stwierdzić o naruszeniu prawa i wówczas nie przekazuje sprawy do ponownego rozpatrzenia.</w:t>
      </w:r>
    </w:p>
    <w:p w14:paraId="246F9BB5"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proponuje się, aby do procedury odwoławczej nie miały zastosowania przepisy Kpa, z wyjątkiem przepisów dotyczących wyłączenia pracowników organu, doręczeń i sposobu obliczania terminów.</w:t>
      </w:r>
    </w:p>
    <w:p w14:paraId="68B537F5"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Udzielenie wsparcia na wdrażanie LSR przez zarząd województwa</w:t>
      </w:r>
    </w:p>
    <w:p w14:paraId="0B309D9B"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dostosowanie przepisów zmienianej ustawy w zakresie weryfikacji kwalifikowalności, o której mowa w art. 33 ust. 3 lit. d rozporządzenia 2021/1060, przez zarząd województwa, na podstawie której udziela się bądź odmawia wsparcia na wdrażanie LSR.</w:t>
      </w:r>
    </w:p>
    <w:p w14:paraId="631AF07D"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Jeżeli są spełnione warunki udzielenia wsparcia na wdrażanie LSR, zarząd województwa będzie udzielał go zgodnie z przepisami regulującymi zasady wsparcia z udziałem poszczególnych EFSI do limitu środków przeznaczonych na udzielenie wsparcia na wdrażanie LSR wskazanego w regulaminie naboru wniosków o wsparcie. Ponadto wyczerpanie środków w ramach przedmiotowego limitu nie będzie stanowiło przeszkody w udzieleniu wsparcia na wdrażanie LSR na daną operację, jeżeli w wyniku wniesienia protestu albo uwzględnienia skargi przez sąd administracyjny LGD wybierze tę operację, a zarząd województwa ustali, że </w:t>
      </w:r>
      <w:r w:rsidRPr="00C543E1">
        <w:rPr>
          <w:rFonts w:ascii="Times New Roman" w:eastAsia="Times New Roman" w:hAnsi="Times New Roman"/>
          <w:sz w:val="24"/>
          <w:szCs w:val="24"/>
          <w:lang w:eastAsia="pl-PL"/>
        </w:rPr>
        <w:lastRenderedPageBreak/>
        <w:t>są spełnione warunki udzielenia wsparcia na wdrażanie LSR, kryteria wyboru operacji określone w regulaminie naboru wniosków o wsparcie oraz jeżeli nie została wyczerpana kwota środków, o których mowa w art. 32 ust. 4 rozporządzenia 2021/1060, przewidzianych w umowie ramowej w ramach środków pochodzących z danego EFSI.</w:t>
      </w:r>
    </w:p>
    <w:p w14:paraId="1B88D98F" w14:textId="77777777" w:rsidR="00F9038A" w:rsidRPr="00C543E1" w:rsidRDefault="00F9038A">
      <w:pPr>
        <w:suppressAutoHyphens/>
        <w:autoSpaceDE w:val="0"/>
        <w:autoSpaceDN w:val="0"/>
        <w:adjustRightInd w:val="0"/>
        <w:spacing w:before="120" w:after="0" w:line="360" w:lineRule="auto"/>
        <w:jc w:val="both"/>
        <w:rPr>
          <w:rFonts w:ascii="Times New Roman" w:hAnsi="Times New Roman"/>
          <w:b/>
          <w:sz w:val="24"/>
          <w:szCs w:val="24"/>
        </w:rPr>
      </w:pPr>
      <w:r w:rsidRPr="00C543E1">
        <w:rPr>
          <w:rFonts w:ascii="Times New Roman" w:hAnsi="Times New Roman"/>
          <w:b/>
          <w:sz w:val="24"/>
          <w:szCs w:val="24"/>
        </w:rPr>
        <w:t>Zmiany w ustawie w ustawie z dnia 20 lutego 2015 r. o wspieraniu rozwoju obszarów wiejskich z udziałem środków Europejskiego Funduszu Rolnego na rzecz Rozwoju Obszarów Wiejskich w ramach Programu Rozwoju Obszarów Wiejskich na lata 2014–2020</w:t>
      </w:r>
    </w:p>
    <w:p w14:paraId="6C0EF6DF" w14:textId="0590071B"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Wprowadzenie zmiany proponowanej w art. 139 projektu ustawy dotyczącej ustawy o PROW 2014–2020, polegającej na dodaniu w art. 5 w ust. 6 pkt 3</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mającego na celu umożliwienie powierzenia przez instytucję zarządzającą dodatkowych zadań Krajowej Stacji Chemiczno-Rolniczej (KSChR) oraz podlegającym jej okręgowym stacjom chemiczno-rolniczym (OSChR) zadań w zakresie wykonywania badań agrochemicznych gleb. </w:t>
      </w:r>
    </w:p>
    <w:p w14:paraId="1521C47F"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Przepisy prawne zawarte w obowiązującej ustawie o PROW 2014–2020 dają możliwość wykonywania przez KSChR lub OSChR jedynie zadań związanych z wykonywaniem badań agrochemicznych w zakresie płatności ONW oraz tworzeniem i prowadzeniem bazy danych zawierającej wyniki badań agrochemicznych w celu zaprezentowania postępów i osiągnięć w dziedzinie polityki rozwoju obszarów wiejskich oraz ocenę oddziaływania, efektywności, skuteczności i znaczenia interwencji z zakresu polityki rozwoju obszarów wiejskich w ramach systemu monitorowania i ewaluacji. Wprowadzenie proponowanej zmiany jest uzasadnione ze względu konieczność zapewnienia prawidłowego wdrażania i monitorowania Wspólnej Polityki Rolnej.</w:t>
      </w:r>
    </w:p>
    <w:p w14:paraId="4B7BFCCD" w14:textId="1A7659FD"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hAnsi="Times New Roman"/>
          <w:sz w:val="24"/>
          <w:szCs w:val="24"/>
        </w:rPr>
        <w:t xml:space="preserve">W pkt 2 proponuje się uchylenie art. 15 w ustawie o PROW 2014–2020. Proponowana zmiana wynika z uchylenia, </w:t>
      </w:r>
      <w:r w:rsidRPr="00C543E1">
        <w:rPr>
          <w:rFonts w:ascii="Times New Roman" w:eastAsia="Times New Roman" w:hAnsi="Times New Roman"/>
          <w:bCs/>
          <w:sz w:val="24"/>
          <w:szCs w:val="24"/>
          <w:lang w:eastAsia="pl-PL"/>
        </w:rPr>
        <w:t xml:space="preserve">wraz z wejściem w życie rozporządzenia 2021/2115, art. 16 ust. 1 lit. b rozporządzenia nr 1305/2013 określającego kryteria uznawania systemów jakości za krajowe, do którego odnosi się art. 15.Celem zmiany zaproponowanej w pkt 4 jest implementacja wyroku Trybunału Sprawiedliwości UE (TSUE) w sprawie C-545/17 Pawlak. TSUE zakwestionował, jako sprzeczny z prawem unijnym, przepis krajowy (art. 165 § 2 Kodeksu postępowania cywilnego), który uznawał za równoznaczne z wniesieniem pisma procesowego do danego sądu jedynie złożenie takiego pisma w placówce pocztowej jednego operatora wyznaczonego do świadczenia usługi powszechnej i to bez obiektywnego uzasadnienia opartego na względach porządku publicznego lub bezpieczeństwa publicznego. Zmiana </w:t>
      </w:r>
      <w:r w:rsidRPr="00C543E1">
        <w:rPr>
          <w:rFonts w:ascii="Times New Roman" w:eastAsia="Times New Roman" w:hAnsi="Times New Roman"/>
          <w:bCs/>
          <w:sz w:val="24"/>
          <w:szCs w:val="24"/>
          <w:lang w:eastAsia="pl-PL"/>
        </w:rPr>
        <w:lastRenderedPageBreak/>
        <w:t>brzmienia art. 37b pkt 2 jest podyktowana przekonaniem o braku uzasadnienia dla utrzymywania wynikającego z tego przepisu monopolu operatora wyznaczonego w rozumieniu art. 3 pkt 12</w:t>
      </w:r>
      <w:r w:rsidR="00094E11">
        <w:rPr>
          <w:rFonts w:ascii="Times New Roman" w:eastAsia="Times New Roman" w:hAnsi="Times New Roman"/>
          <w:bCs/>
          <w:sz w:val="24"/>
          <w:szCs w:val="24"/>
          <w:lang w:eastAsia="pl-PL"/>
        </w:rPr>
        <w:t xml:space="preserve"> </w:t>
      </w:r>
      <w:r w:rsidRPr="00C543E1">
        <w:rPr>
          <w:rFonts w:ascii="Times New Roman" w:eastAsia="Times New Roman" w:hAnsi="Times New Roman"/>
          <w:bCs/>
          <w:sz w:val="24"/>
          <w:szCs w:val="24"/>
          <w:lang w:eastAsia="pl-PL"/>
        </w:rPr>
        <w:t xml:space="preserve">ustawy z dnia 23 listopada 2012 r. – Prawo pocztowe na świadczenie usług pocztowych związanych z nadawaniem przez podmiot ubiegający się o przyznanie pomocy do podmiotu przyznającego pomoc pomocy przesyłki rejestrowanej, gdy to nadanie wiąże się z zachowaniem terminu wyznaczonego na podpisanie umowy o przyznaniu pomocy. Z tego względu zaproponowano zmianę brzmienia ww. przepisu wzorem odpowiednio zmiany wprowadzonej ustawą z dnia 11 sierpnia 2021 r. o zmianie ustawy – Kodeks postępowania cywilnego oraz niektórych ustaw (Dz. U. poz. 1655) w art. 165 § 2 Kodeksu postępowania cywilnego, tj. uwzględniono możliwość nadawania przesyłki w polskiej placówce pocztowej operatora pocztowego w rozumieniu art. 3 pkt 12 ustawy z dnia 23 listopada 2012 r. – Prawo pocztowe lub w placówce podmiotu zajmującego się doręczaniem korespondencji na terenie UE. </w:t>
      </w:r>
    </w:p>
    <w:p w14:paraId="6E9E14F1"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W pkt 5 zaproponowano w art. 42 zmiany będące konsekwencją zmian zaproponowanych w art. 135 pkt 2 projektowanej ustawy.</w:t>
      </w:r>
    </w:p>
    <w:p w14:paraId="419664E6" w14:textId="54B4BA85" w:rsidR="00F9038A" w:rsidRPr="00C543E1" w:rsidRDefault="00F9038A" w:rsidP="00530A3D">
      <w:pPr>
        <w:autoSpaceDE w:val="0"/>
        <w:autoSpaceDN w:val="0"/>
        <w:spacing w:before="120" w:after="0" w:line="360" w:lineRule="auto"/>
        <w:jc w:val="both"/>
        <w:rPr>
          <w:rFonts w:ascii="Times New Roman" w:hAnsi="Times New Roman"/>
          <w:sz w:val="24"/>
          <w:szCs w:val="24"/>
          <w:lang w:eastAsia="pl-PL"/>
        </w:rPr>
      </w:pPr>
      <w:r w:rsidRPr="00C543E1">
        <w:rPr>
          <w:rFonts w:ascii="Times New Roman" w:hAnsi="Times New Roman"/>
          <w:sz w:val="24"/>
          <w:szCs w:val="24"/>
          <w:lang w:eastAsia="pl-PL"/>
        </w:rPr>
        <w:t>Celem proponowanej zmiany art. 21, art. 49 i art. 72 ustawy o PROW 2014–2020 jest zapewnienie, że przepisy dotyczące wymogów i norm wzajemnej zgodności, ustanowione obecnie w przepisach o płatnościach bezpośrednich, będą nadal stosowane w odniesieniu do zobowiązań PROW 2007–2013 i PROW 2014–2020 (tj. zobowiązań w ramach działania rolno-środowiskowo-klimatycznego, działania rolnictwo ekologiczne czy premii zalesieniowych), w szczególności w sytuacji, o której mowa w art. 12 rozporządzenia 2022/1172. Z przepisu art. 12 rozporządzenia 2022/1172 wynika, że jeżeli beneficjent realizujący zobowiązanie m.in. w ramach działania rolno-środowiskowo-klimatycznego i działania rolnictwo ekologiczne objętego PROW 2014–2020 otrzymuje również płatności obszarowe w ramach Planu Strategicznego, to w pierwszej kolejności podlega on kontroli spełnienia warunkowości, a jeśli ta kontrola wykaże niezgodności, to w odniesieniu do zobowiązań PROW 2014–2020 jest przeprowadzana kontrola wzajemnej zgodności zgodnie z warunkami określonymi w rozporządzeniu nr 1306/2013. W związku z tym w szczególności dla tego typu sytuacji będą utrzymane w mocy przepisy dotyczące norm i wymogów wzajemnej zgodności określone obecnie w ustawie z dnia 5 lutego 2015 r. o płatnościach w ramach systemów wsparcia bezpośredniego w brzmieniu z dnia 24 sierpnia 2022 r. oraz w przepisach wydanych na podstawie tej ustawy.</w:t>
      </w:r>
    </w:p>
    <w:p w14:paraId="41A9B56E"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lastRenderedPageBreak/>
        <w:t>Zmiana w ustawie z dnia 16 listopada 2016 r. o Krajowej Administracji Skarbowej</w:t>
      </w:r>
    </w:p>
    <w:p w14:paraId="26A209B0" w14:textId="77777777" w:rsidR="00F9038A" w:rsidRPr="00C543E1" w:rsidRDefault="00F9038A" w:rsidP="00530A3D">
      <w:pPr>
        <w:keepNext/>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związku z wejściem w życie z dniem 1 stycznia 2023 r. rozporządzenia 2021/2116 jest konieczne wprowadzenie do przepisów krajowych niezbędnych przepisów o charakterze kompetencyjnym porządkującym zakres działania Szefa Krajowej Administracji Skarbowej. Proponowany przepis ma na celu zapewnienie ciągłości realizacji zadań i działalności jednostki certyfikującej po uchyleniu rozporządzenia nr 1306/2013. Dodanie wskazanego przepisu ogranicza się do odesłania w tym zakresie do rozporządzenia 2021/2116.</w:t>
      </w:r>
    </w:p>
    <w:p w14:paraId="315A7EC7"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20 lipca 2017 r. – Prawo wodne</w:t>
      </w:r>
    </w:p>
    <w:p w14:paraId="77BE69F6" w14:textId="34646D7D" w:rsidR="00F9038A" w:rsidRPr="00530A3D" w:rsidRDefault="00F9038A">
      <w:pPr>
        <w:suppressAutoHyphens/>
        <w:autoSpaceDE w:val="0"/>
        <w:autoSpaceDN w:val="0"/>
        <w:adjustRightInd w:val="0"/>
        <w:spacing w:before="120" w:after="0" w:line="360" w:lineRule="auto"/>
        <w:jc w:val="both"/>
        <w:rPr>
          <w:rFonts w:ascii="Times New Roman" w:eastAsiaTheme="minorEastAsia" w:hAnsi="Times New Roman"/>
          <w:bCs/>
          <w:sz w:val="24"/>
          <w:szCs w:val="24"/>
          <w:lang w:eastAsia="pl-PL"/>
        </w:rPr>
      </w:pPr>
      <w:r w:rsidRPr="00530A3D">
        <w:rPr>
          <w:rFonts w:ascii="Times New Roman" w:eastAsiaTheme="minorEastAsia" w:hAnsi="Times New Roman"/>
          <w:sz w:val="24"/>
          <w:szCs w:val="24"/>
          <w:lang w:eastAsia="pl-PL"/>
        </w:rPr>
        <w:t xml:space="preserve">Zaproponowana zmiana definicji </w:t>
      </w:r>
      <w:r w:rsidRPr="00530A3D">
        <w:rPr>
          <w:rFonts w:ascii="Times New Roman" w:eastAsiaTheme="minorEastAsia" w:hAnsi="Times New Roman"/>
          <w:bCs/>
          <w:sz w:val="24"/>
          <w:szCs w:val="24"/>
          <w:lang w:eastAsia="pl-PL"/>
        </w:rPr>
        <w:t>działki rolnej</w:t>
      </w:r>
      <w:r w:rsidRPr="00530A3D">
        <w:rPr>
          <w:rFonts w:ascii="Times New Roman" w:eastAsiaTheme="minorEastAsia" w:hAnsi="Times New Roman"/>
          <w:sz w:val="24"/>
          <w:szCs w:val="24"/>
          <w:lang w:eastAsia="pl-PL"/>
        </w:rPr>
        <w:t xml:space="preserve"> ma na celu dostosowanie przepisów ustawy </w:t>
      </w:r>
      <w:r w:rsidR="001F495F">
        <w:rPr>
          <w:rFonts w:ascii="Times New Roman" w:eastAsiaTheme="minorEastAsia" w:hAnsi="Times New Roman"/>
          <w:sz w:val="24"/>
          <w:szCs w:val="24"/>
          <w:lang w:eastAsia="pl-PL"/>
        </w:rPr>
        <w:t>–</w:t>
      </w:r>
      <w:r w:rsidRPr="00530A3D">
        <w:rPr>
          <w:rFonts w:ascii="Times New Roman" w:eastAsiaTheme="minorEastAsia" w:hAnsi="Times New Roman"/>
          <w:sz w:val="24"/>
          <w:szCs w:val="24"/>
          <w:lang w:eastAsia="pl-PL"/>
        </w:rPr>
        <w:t xml:space="preserve"> Prawo wodne do projektowanych przepisów </w:t>
      </w:r>
      <w:r w:rsidRPr="00530A3D">
        <w:rPr>
          <w:rFonts w:ascii="Times New Roman" w:eastAsiaTheme="minorEastAsia" w:hAnsi="Times New Roman"/>
          <w:bCs/>
          <w:sz w:val="24"/>
          <w:szCs w:val="24"/>
          <w:lang w:eastAsia="pl-PL"/>
        </w:rPr>
        <w:t>o Planie Strategicznym dla wspólnej polityki rolnej</w:t>
      </w:r>
      <w:r w:rsidRPr="00530A3D">
        <w:rPr>
          <w:rFonts w:ascii="Times New Roman" w:eastAsiaTheme="minorEastAsia" w:hAnsi="Times New Roman"/>
          <w:sz w:val="24"/>
          <w:szCs w:val="24"/>
          <w:lang w:eastAsia="pl-PL"/>
        </w:rPr>
        <w:t>.</w:t>
      </w:r>
    </w:p>
    <w:p w14:paraId="5EF4021E"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9 listopada 2018 r. o kołach gospodyń wiejskich</w:t>
      </w:r>
    </w:p>
    <w:p w14:paraId="52022D90"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W ustawie z dnia 9 listopada 2018 r. o kołach gospodyń wiejskich zaproponowano zmiany będące konsekwencją zmian zaproponowanych w art. 135 pkt 2 projektowanej ustawy.</w:t>
      </w:r>
    </w:p>
    <w:p w14:paraId="389AC009"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z 11 września 2019 r. – Prawo zamówień publicznych</w:t>
      </w:r>
    </w:p>
    <w:p w14:paraId="23C5E121" w14:textId="616AF310"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Obowiązujący art. 596 ust. 2 pkt 4 ustawy Pzp zalicza do organów kontroli udzielania zamówień instytucję zarządzającą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rozumieniu przepisów dotyczących realizacji programów w zakresie polityki spójności, programów realizowanych z wykorzystaniem środków Europejskiego Funduszu Rolnego na</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rzecz Rozwoju Obszarów Wiejskich oraz funduszy wspierających sektory morski lub rybacki. Przepis nie uwzględnia wśród tych organów instytucji zarządzającej Planem Strategicznym.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związku z tym w projektowanej ustawie proponuje się odpowiednie uzupełnienie przepisu zmienianej ustawy przez uwzględnienie z nim również instytucji zarządzającej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rozumieniu przepisów dotyczących Planu Strategicznego.</w:t>
      </w:r>
    </w:p>
    <w:p w14:paraId="795A69E1" w14:textId="28BB3A98"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13 lutego 2020 r. o Państwowej Inspekcji Ochrony Roślin i</w:t>
      </w:r>
      <w:r w:rsidR="00094E11">
        <w:rPr>
          <w:rFonts w:ascii="Times New Roman" w:eastAsia="Times New Roman" w:hAnsi="Times New Roman"/>
          <w:b/>
          <w:sz w:val="24"/>
          <w:szCs w:val="24"/>
          <w:lang w:eastAsia="pl-PL"/>
        </w:rPr>
        <w:t xml:space="preserve"> </w:t>
      </w:r>
      <w:r w:rsidRPr="00C543E1">
        <w:rPr>
          <w:rFonts w:ascii="Times New Roman" w:eastAsia="Times New Roman" w:hAnsi="Times New Roman"/>
          <w:b/>
          <w:sz w:val="24"/>
          <w:szCs w:val="24"/>
          <w:lang w:eastAsia="pl-PL"/>
        </w:rPr>
        <w:t>Nasiennictwa</w:t>
      </w:r>
    </w:p>
    <w:p w14:paraId="1C9CD41A" w14:textId="3EAD6C6F"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proponuje się zmianę w art. 33 ust. 2 ustawy z dnia 13 lutego 2020 r. o Państwowej Inspekcji Ochrony Roślin i Nasiennictwa. Zgodnie z obowiązującym przepisem informacje lub dane uzyskane w wyniku wykonywania zadań tej inspekcji są nieodpłatnie przekazywane ARiMR w zakresie niezbędnym do przeprowadzania kontroli administracyjnych i kontroli na miejscu jako organowi kontroli, o którym mowa w art. 67 ust.</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1 lit. a </w:t>
      </w:r>
      <w:r w:rsidRPr="00C543E1">
        <w:rPr>
          <w:rFonts w:ascii="Times New Roman" w:eastAsia="Times New Roman" w:hAnsi="Times New Roman"/>
          <w:sz w:val="24"/>
          <w:szCs w:val="24"/>
          <w:lang w:eastAsia="pl-PL"/>
        </w:rPr>
        <w:lastRenderedPageBreak/>
        <w:t>rozporządzenia wykonawczego Komisji (UE) nr 809/2014 z dnia 17 lipca 2014 r. ustanawiającego zasady stosowania rozporządzenia Parlamentu Europejskiego i Rady (UE) nr</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1306/2013 w odniesieniu do zintegrowanego systemu zarządzania i kontroli. Wymienione rozporządzenie nr 809/2014, co do zasady dotyczy okresu programowania 2014–2020 (przedłużonego na lata 2021–2022) i nie będzie dotyczyło Planu Strategicznego. Rozporządzenia delegowane i wykonawcze UE dotyczące Planu Strategicznego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wydane na podstawie rozporządzenia 2021/2116 nie zastępują rozporządzenia nr 809/2014. W związku z tym proponuje się wskazać w zmienianym przepisie ARiMR jako agencję płatniczą, o której mowa w art. 9 ust. 1 rozporządzenia 2021/2116.</w:t>
      </w:r>
    </w:p>
    <w:p w14:paraId="4781AA8F"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Zmiany w ustawie z dnia 2 marca 2020 r. o szczególnych rozwiązaniach związanych z zapobieganiem, przeciwdziałaniem i zwalczaniem COVID-19, innych chorób zakaźnych oraz wywołanych nimi sytuacji kryzysowych</w:t>
      </w:r>
    </w:p>
    <w:p w14:paraId="547903DE"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uchylenie art. 15zzzzy ust. 2 i 4 ustawy z dnia 2 marca 2020 r. o szczególnych rozwiązaniach związanych z zapobieganiem, przeciwdziałaniem i zwalczaniem COVID-19, innych chorób zakaźnych oraz wywołanych nimi sytuacji kryzysowych.</w:t>
      </w:r>
    </w:p>
    <w:p w14:paraId="4196464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Zgodnie z przepisami załącznika III do rozporządzenia 2021/2115 dotyczącymi warunkowości, wymogi w ramach SMR 8 obejmują postanowienia dyrektywy Parlamentu Europejskiego i Rady 2009/128/WE z dnia 21 października 2009 r. ustanawiającej ramy wspólnotowego działania na rzecz zrównoważonego stosowania pestycydów (Dz. Urz. UE L 309 z 24.11.2009, str. 71, z późn. zm.), m.in. w zakresie art. 5 ust. 2 i art. 8 ust. 1–5. Przepisy te dotyczą szkoleń w zakresie środków ochrony roślin (art. 5) oraz kontroli sprzętu do stosowania środków ochrony roślin (art. 8).</w:t>
      </w:r>
    </w:p>
    <w:p w14:paraId="3D12B11D"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związku z pandemią COVID-19 obowiązki dotyczące szkoleń w zakresie środków ochrony roślin i kontroli sprzętu do stosowania środków ochrony roślin wynikające z ustaw z dnia 8 marca 2013 r. o środkach ochrony roślin zostały zawieszone przepisami art. 15zzzzy ust. 2 i ust. 4 ustawy z dnia 2 marca 2020 r. o szczególnych rozwiązaniach związanych z zapobieganiem, przeciwdziałaniem i zwalczaniem COVID-19, innych chorób zakaźnych oraz wywołanych innymi sytuacjami kryzysowymi. Przepisy te mają zastosowanie podczas stanu zagrożenia epidemicznego oraz stanu epidemii ogłoszonych na podstawie ustawy z dnia 5 grudnia 2008 r. o zapobieganiu oraz zwalczaniu zakażeń i chorób zakaźnych u ludzi w związku z zakażeniami wirusem SARS-CoV-2.</w:t>
      </w:r>
    </w:p>
    <w:p w14:paraId="11217C88"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 xml:space="preserve">W związku z utrzymującym się stanem zagrożenia epidemicznego, przy jednoczesnym braku wymagań sanitarnych uniemożliwiających przeprowadzanie badań sprzętu przeznaczonego do stosowania środków ochrony roślin lub prowadzenia szkoleń w zakresie środków ochrony roślin, obowiązujące obecnie wyłączenia w tym zakresie powinny zostać zniesione. Nie ma bowiem obecnie przesłanek merytorycznych przemawiających za ich dalszym utrzymywaniem. Zniesienie tych włączeń jest także konieczne dla zapewnienia zgodności przepisów krajowych z przepisami unijnymi dotyczącymi zrównoważonego stosowania środków ochrony roślin, do których odnoszą się z kolei przepisy dotyczące warunkowości. </w:t>
      </w:r>
    </w:p>
    <w:p w14:paraId="4CB31C7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Proponowane rozwiązanie będzie dotyczyło wszystkich rolników, a nie tylko rolników korzystających ze wsparcia. Niemniej jednak, w związku z tym, że większość rolników korzysta ze wsparcia, będą oni główną grupą, na którą oddziaływać będą proponowane rozwiązania. </w:t>
      </w:r>
    </w:p>
    <w:p w14:paraId="0E57B768"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sz w:val="24"/>
          <w:szCs w:val="24"/>
          <w:lang w:eastAsia="pl-PL"/>
        </w:rPr>
        <w:t xml:space="preserve">Jednocześnie proponuje się, aby dla ww. przepisów przewidzieć 2 miesięczny okres </w:t>
      </w:r>
      <w:r w:rsidRPr="00530A3D">
        <w:rPr>
          <w:rStyle w:val="Kkursywa"/>
          <w:rFonts w:ascii="Times New Roman" w:hAnsi="Times New Roman"/>
          <w:sz w:val="24"/>
          <w:szCs w:val="24"/>
        </w:rPr>
        <w:t>vacatio legis</w:t>
      </w:r>
      <w:r w:rsidRPr="00C543E1">
        <w:rPr>
          <w:rFonts w:ascii="Times New Roman" w:eastAsia="Times New Roman" w:hAnsi="Times New Roman"/>
          <w:sz w:val="24"/>
          <w:szCs w:val="24"/>
          <w:lang w:eastAsia="pl-PL"/>
        </w:rPr>
        <w:t>, tak aby rolnicy mieli zapewniony odpowiedni czas na ukończenie szkolenia lub poddanie sprzętu do stosowania środków ochrony roślin badaniom sprawności technicznej.</w:t>
      </w:r>
    </w:p>
    <w:p w14:paraId="5623D0C5"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23 czerwca 2022 r. o rolnictwie ekologicznym i produkcji ekologicznej</w:t>
      </w:r>
    </w:p>
    <w:p w14:paraId="370CF40D"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zaproponowano zmianę ustawy z dnia 23 czerwca 2022 r. o rolnictwie ekologicznym i produkcji ekologicznej w zakresie art. 6. Zmiana ta jest związana z wdrożeniem w ramach ekoschematu – Dobrostan zwierząt objętego Planem Strategicznym szczególnych rozwiązań dotyczących zwierząt utrzymywanych zgodnie z zasadami systemu rolnictwa ekologicznego. Rozwiązania te zakładają, że zwierzęta gatunków/grup objętych tym ekoschematem utrzymywane zgodnie z systemem rolnictwa ekologicznego mogą kwalifikować się do płatności dobrostanowych na uproszczonych zasadach. Ustalenie, czy dane zwierzę jest utrzymywane zgodnie z systemem rolnictwa ekologicznego, może być potwierdzone jedynie przez jednostki certyfikujące w rolnictwie ekologicznym. Proponuje się, aby potwierdzenie to odbywało się w ramach przekazywanego obecnie przez jednostki certyfikujące (m.in. do ARiMR) wykazu producentów, o których mowa w ustawie z dnia 18 grudnia 2003 r. o krajowym systemie ewidencji producentów, ewidencji gospodarstw rolnych oraz ewidencji wniosków o przyznanie płatności, którzy spełnili określone wymagania dotyczące produkcji ekologicznej zgodnie z przepisami dotyczącymi rolnictwa ekologicznego, zwanym dalej „Wykazem”.</w:t>
      </w:r>
    </w:p>
    <w:p w14:paraId="06FB7270"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W obecnie funkcjonującym Wykazie nie znajdują się informacje określające, czy (i jakich gatunków) zwierzęta w danym gospodarstwie są utrzymywane w sposób zgodny z zasadami rolnictwa ekologicznego. Ze względu na wprowadzenie możliwości przyznania w sposób uproszczony (bez konieczności sporządzania planu poprawy dobrostanu zwierząt) płatności dobrostanowej dla zwierząt utrzymywanych w warunkach ekologicznych jest konieczne wprowadzenie odpowiednich zmian w Wykazie. Proponuje się zatem, aby dotychczasowy Wykaz zastąpić dwoma odrębnymi wykazami, które będą zawierały odpowiednio informacje dotyczące produkcji roślinnej oraz informacje dotyczące produkcji zwierzęcej. Wyodrębnienie dwóch odrębnych wykazów pozwoli na uzyskanie oddzielnych informacji dotyczących produkcji roślinnej i produkcji zwierzęcej, jakie są niezbędne w związku z koniecznością weryfikacji udzielania pomocy finansowej producentom ekologicznym z udziałem środków EFRROW lub EFRG.</w:t>
      </w:r>
    </w:p>
    <w:p w14:paraId="7761F2C0"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Proponowana zmiana kształtu Wykazu musi być jednak poprzedzona zmianą poszczególnych przepisów art. 6 ustawy z dnia 23 czerwca 2022 r. o rolnictwie ekologicznym i produkcji ekologicznej, ponieważ np. w obecnym brzmieniu w ust. 1 tego artykułu jest mowa o: przekazywaniu Wykazu (a nie wykazów), są tu także wskazane dwa terminy przekazywania jednego Wykazu (a nie dwóch wykazów.</w:t>
      </w:r>
    </w:p>
    <w:p w14:paraId="03AA9535"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Proponuje się, aby po wprowadzeniu proponowanych zmian wykazy (tj. wykaz dotyczący produkcji roślinnej oraz wykaz dotyczący produkcji zwierzęcej) były przekazywane w takich samych terminach, tj. do dnia 15 października każdego roku oraz do dnia 30 listopada każdego roku. Odpowiednie zmiany należy zatem wprowadzić także w ust. 2–6 w art. 6. Konsekwencją zmiany przepisów art. 6 ww. ustawy będzie również zmiana ust. 3 w art. 23. Obecnie ustęp ten reguluje sytuację nieprzekazywania przez jednostkę certyfikującą Wykazu lub przekazywania Wykazu zawierającego nieprawdziwe lub niekompletne dane. Po wprowadzeniu proponowanej zmiany przepis ust. 3 w art. 23 będzie odpowiadał zmianom wprowadzanym w art. 6.</w:t>
      </w:r>
    </w:p>
    <w:p w14:paraId="422AC3A2"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Ponadto proponuje się zmianę w zakresie art. 13, która ma na celu zapewnienie Głównemu Inspektorowi Jakości Handlowej Artykułów Rolno-Spożywczych oraz jednostkom certyfikującym dostępu do szerszych zasobów informacyjnych, jakimi administruje ARiMR. Obecny dostęp do danych o producentach ekologicznych, które są zgromadzone w krajowym systemie ewidencji producentów, ewidencji gospodarstw rolnych oraz ewidencji wniosków o przyznanie płatności, o którym mowa w ustawie z dnia 18 grudnia 2003 r. o krajowym systemie ewidencji producentów, ewidencji gospodarstw rolnych oraz ewidencji wniosków o przyznanie płatności, nie jest wystarczający do pozyskiwania wszystkich informacji o producentach </w:t>
      </w:r>
      <w:r w:rsidRPr="00C543E1">
        <w:rPr>
          <w:rFonts w:ascii="Times New Roman" w:eastAsia="Times New Roman" w:hAnsi="Times New Roman"/>
          <w:sz w:val="24"/>
          <w:szCs w:val="24"/>
          <w:lang w:eastAsia="pl-PL"/>
        </w:rPr>
        <w:lastRenderedPageBreak/>
        <w:t>ekologicznych w zakresie niezbędnym do prawidłowego funkcjonowania systemu kontroli urzędowej w rolnictwie ekologicznym.</w:t>
      </w:r>
    </w:p>
    <w:p w14:paraId="7D9FEC39"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b/>
          <w:sz w:val="24"/>
          <w:szCs w:val="24"/>
          <w:lang w:eastAsia="pl-PL"/>
        </w:rPr>
      </w:pPr>
      <w:r w:rsidRPr="00C543E1">
        <w:rPr>
          <w:rFonts w:ascii="Times New Roman" w:eastAsia="Times New Roman" w:hAnsi="Times New Roman"/>
          <w:b/>
          <w:sz w:val="24"/>
          <w:szCs w:val="24"/>
          <w:lang w:eastAsia="pl-PL"/>
        </w:rPr>
        <w:t>Zmiana w ustawie z dnia 4 listopada 2022 r. o systemie identyfikacji i rejestracji zwierząt</w:t>
      </w:r>
    </w:p>
    <w:p w14:paraId="7B3646C2"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projektowanej ustawie zaproponowano zmianę ustawy z dnia 4 listopada 2022 r. o systemie identyfikacji i rejestracji zwierząt w zakresie art. 24. Zmiana ta podyktowana jest rozpoczęciem od 2023 r. nowej perspektywy programowo-finansowej realizowanej w ramach ustawy o Planie Strategicznym. W związku z tym dotychczasowe działanie dobrostan zwierząt PROW 2014–2020 nie będzie już wdrażane (pozostaną jedynie zobowiązania kontynuacyjne, które zakończą się z dniem 15 maja 2023 r.). Działanie dobrostan zwierząt PROW 2014–2020 zostanie zastąpione ekoschematem – Dobrostan zwierząt w ramach Planu Strategicznego. Dla wdrażania ekoschematu jest niezbędne zachowanie dotychczasowego obowiązku indywidualnego znakowania i zgłaszania do komputerowej bazy danych (kbd) loch, tak jak ma to zastosowanie w obecnym działaniu dobrostan zwierząt PROW 2014–2020. Dodatkowo niezbędne jest, aby rolnicy realizujący zobowiązania w zakresie dobrostanu owiec w ramach PS, tak jak rolnicy realizujący zobowiązania w zakresie dobrostanu owiec w ramach PROW 2014–2020 mieli obowiązek wcześniejszego zgłaszania i znakowania zwierząt nowonarodzonych. Ponadto, mając na względzie, że płatności dobrostanowe w ramach Planu Strategicznego zostały rozszerzone m.in. o kozy, jest konieczne przeniesienie na ten gatunek analogicznego obowiązku jak w przypadku owiec. Wcześniejsze niż powszechnie obowiązujące znakowanie kóz i owiec i ich zgłaszanie do kbd jest niezbędne do prawidłowej realizacji założeń przyjętych w ekoschemacie – Dobrostan zwierząt.</w:t>
      </w:r>
    </w:p>
    <w:p w14:paraId="6C456AA6"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Zmiany w zakresie dodawanego ust. 7a i 7b są konsekwencją wcześniej wprowadzonych zmian.</w:t>
      </w:r>
    </w:p>
    <w:p w14:paraId="3E194AFB" w14:textId="77777777" w:rsidR="00F9038A" w:rsidRPr="00C543E1" w:rsidRDefault="00F9038A">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Zmiany w zakresie art. 45 powiązane są ze zmianami wprowadzanymi w art. 135 projektu ustawy.</w:t>
      </w:r>
    </w:p>
    <w:p w14:paraId="6B5E4F94" w14:textId="77777777" w:rsidR="00F9038A" w:rsidRPr="00C543E1" w:rsidRDefault="00F9038A">
      <w:pPr>
        <w:keepNext/>
        <w:suppressAutoHyphens/>
        <w:spacing w:before="120" w:after="0" w:line="360" w:lineRule="auto"/>
        <w:rPr>
          <w:rFonts w:ascii="Times New Roman" w:eastAsia="Times New Roman" w:hAnsi="Times New Roman"/>
          <w:b/>
          <w:bCs/>
          <w:sz w:val="24"/>
          <w:szCs w:val="24"/>
          <w:lang w:eastAsia="pl-PL"/>
        </w:rPr>
      </w:pPr>
      <w:r w:rsidRPr="00C543E1">
        <w:rPr>
          <w:rFonts w:ascii="Times New Roman" w:eastAsia="Times New Roman" w:hAnsi="Times New Roman"/>
          <w:b/>
          <w:bCs/>
          <w:sz w:val="24"/>
          <w:szCs w:val="24"/>
          <w:lang w:eastAsia="pl-PL"/>
        </w:rPr>
        <w:t>Przepisy przejściowe i końcowe</w:t>
      </w:r>
    </w:p>
    <w:p w14:paraId="1C1FDD26"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148 projektowanej ustawy zaproponowano przepis przejściowy w zakresie dotyczącym podawania do publicznej wiadomości harmonogramu naborów wniosków o przyznanie pomocy na 2023 r. Zaproponowano, aby harmonogram na 2023 r. został podany do publicznej wiadomości na stronie internetowej podmiotu właściwego w sprawie o przyznanie pomocy w terminie 3 dni od dnia wejścia w życie projektowanej ustawy.</w:t>
      </w:r>
    </w:p>
    <w:p w14:paraId="0D73C25D"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Dodano również przepis określający w jakim terminie harmonogram naborów wniosków ma zostać upubliczniony przez podmiot wdrażający w związku z koniecznością uprzedniego zawarcia przez ten podmiot z agencja płatniczą umowy delegowania zadań.</w:t>
      </w:r>
    </w:p>
    <w:p w14:paraId="2CF42F2C"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Ponadto proponuje się, zgodnie z postulatami samorządów, aby w ramach wdrażania RLKS pierwszy harmonogram naborów wniosków o wsparcie, o którym mowa w projektowanym art. 18c ust. 1 ustawy zmienianej w art. 138, był podawany do publicznej wiadomości przez każdą LGD w terminie 60 dni od dnia zawarcia umowy o warunkach i sposobie realizacji RLKS (umowy ramowej). Zasadne wydaje się zatem powiązanie terminu upublicznienia pierwszego harmonogramu naboru wniosków z terminem zawarcia umowy ramowej.</w:t>
      </w:r>
    </w:p>
    <w:p w14:paraId="2EC2661B"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149 projektowanej ustawy zaproponowano przepis przejściowy dotyczący przekazania ARiMR informacji przez Biuro Informacyjne KRK zgromadzonych przed dniem wejścia w życie projektowanej ustawy.</w:t>
      </w:r>
    </w:p>
    <w:p w14:paraId="72D3D958"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150 projektowanej ustawy zaproponowano, że projekt wytycznych IZ przekazany do zaopiniowania jednostkom, organom i podmiotom, o których mowa w art. 6 ust. 4, przed dniem wejścia w życie projektowanej ustawy uznaje się za zaopiniowany zgodnie z art. 6 ust. 4 projektowanej ustawy. Takie rozwiązanie ma na celu niezwłoczne wydanie wytycznych niezbędnych do uruchomienia poszczególnych interwencji bez konieczności powtarzania procesu opiniowania projektu wytycznych po wejściu w życie projektowanej ustawy.</w:t>
      </w:r>
    </w:p>
    <w:p w14:paraId="4446065F" w14:textId="0BC920D7" w:rsidR="00F9038A" w:rsidRPr="00530A3D" w:rsidRDefault="00F9038A">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530A3D">
        <w:rPr>
          <w:rFonts w:ascii="Times New Roman" w:eastAsiaTheme="minorEastAsia" w:hAnsi="Times New Roman"/>
          <w:sz w:val="24"/>
          <w:szCs w:val="24"/>
          <w:lang w:eastAsia="pl-PL"/>
        </w:rPr>
        <w:t xml:space="preserve">W art. 151 </w:t>
      </w:r>
      <w:r w:rsidRPr="00C543E1">
        <w:rPr>
          <w:rFonts w:ascii="Times New Roman" w:hAnsi="Times New Roman"/>
          <w:sz w:val="24"/>
          <w:szCs w:val="24"/>
        </w:rPr>
        <w:t>projektowanej ustawy proponuje się, aby w</w:t>
      </w:r>
      <w:r w:rsidRPr="00530A3D">
        <w:rPr>
          <w:rFonts w:ascii="Times New Roman" w:eastAsiaTheme="minorEastAsia" w:hAnsi="Times New Roman"/>
          <w:sz w:val="24"/>
          <w:szCs w:val="24"/>
          <w:lang w:eastAsia="pl-PL"/>
        </w:rPr>
        <w:t xml:space="preserve"> 2023 r. obwieszczenie zawierające listę odmian konopi włóknistych, dla których wystąpiły okoliczności, o których mowa w art. 3 ust. 4 rozporządzenia 2022/126, do uprawy których nie przyznaje się płatności bezpośrednich i uzupełniającej płatności podstawowej, o którym mowa w art. 26 ust. 3</w:t>
      </w:r>
      <w:r w:rsidRPr="00C543E1">
        <w:rPr>
          <w:rFonts w:ascii="Times New Roman" w:eastAsia="Times New Roman" w:hAnsi="Times New Roman"/>
          <w:sz w:val="24"/>
          <w:szCs w:val="24"/>
          <w:lang w:eastAsia="pl-PL"/>
        </w:rPr>
        <w:t xml:space="preserve"> projektowanej ustawy</w:t>
      </w:r>
      <w:r w:rsidRPr="00530A3D">
        <w:rPr>
          <w:rFonts w:ascii="Times New Roman" w:eastAsiaTheme="minorEastAsia" w:hAnsi="Times New Roman"/>
          <w:sz w:val="24"/>
          <w:szCs w:val="24"/>
          <w:lang w:eastAsia="pl-PL"/>
        </w:rPr>
        <w:t>, może zostać ogłoszone również w przypadku gdy informacja, o której mowa w art. 26 ust. 2, została przekazana przez Prezesa Agencji przed dniem wejścia w życie niniejszej ustawy.</w:t>
      </w:r>
    </w:p>
    <w:p w14:paraId="4D6F38A9" w14:textId="77777777" w:rsidR="00F9038A" w:rsidRPr="00530A3D" w:rsidRDefault="00F9038A">
      <w:pPr>
        <w:suppressAutoHyphens/>
        <w:autoSpaceDE w:val="0"/>
        <w:autoSpaceDN w:val="0"/>
        <w:adjustRightInd w:val="0"/>
        <w:spacing w:before="120" w:after="0" w:line="360" w:lineRule="auto"/>
        <w:jc w:val="both"/>
        <w:rPr>
          <w:rFonts w:ascii="Times New Roman" w:eastAsiaTheme="minorEastAsia" w:hAnsi="Times New Roman"/>
          <w:sz w:val="24"/>
          <w:szCs w:val="24"/>
          <w:lang w:eastAsia="pl-PL"/>
        </w:rPr>
      </w:pPr>
      <w:r w:rsidRPr="00530A3D">
        <w:rPr>
          <w:rFonts w:ascii="Times New Roman" w:eastAsiaTheme="minorEastAsia" w:hAnsi="Times New Roman"/>
          <w:sz w:val="24"/>
          <w:szCs w:val="24"/>
          <w:lang w:eastAsia="pl-PL"/>
        </w:rPr>
        <w:t xml:space="preserve">W </w:t>
      </w:r>
      <w:r w:rsidRPr="00C543E1">
        <w:rPr>
          <w:rFonts w:ascii="Times New Roman" w:eastAsia="Times New Roman" w:hAnsi="Times New Roman"/>
          <w:sz w:val="24"/>
          <w:szCs w:val="24"/>
          <w:lang w:eastAsia="pl-PL"/>
        </w:rPr>
        <w:t>art. 152 projektowanej ustawy proponuje się, aby w 2023 r. termin dokonania zmiany wniosku o przyznanie pomocy, o której mowa art. 20 pkt 1–4 projektowanej ustawy, w przypadku określonym w art. 60 ust. 2 pkt 2 projektowanej ustawy, upływał z dniem 15 października.</w:t>
      </w:r>
    </w:p>
    <w:p w14:paraId="3EDD968B"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hAnsi="Times New Roman"/>
          <w:sz w:val="24"/>
          <w:szCs w:val="24"/>
        </w:rPr>
        <w:t xml:space="preserve">W art. 153 projektowanej ustawy proponuje się, aby do postępowań </w:t>
      </w:r>
      <w:r w:rsidRPr="00C543E1">
        <w:rPr>
          <w:rFonts w:ascii="Times New Roman" w:eastAsia="Times New Roman" w:hAnsi="Times New Roman"/>
          <w:sz w:val="24"/>
          <w:szCs w:val="24"/>
          <w:lang w:eastAsia="pl-PL"/>
        </w:rPr>
        <w:t>scaleniowych wszczętych i niezakończonych przed dniem wejścia projektowanej ustawy stosowane były przepisy dotychczasowe.</w:t>
      </w:r>
    </w:p>
    <w:p w14:paraId="55E52298"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W art. 154 i art. 155 projektowanej ustawy zostały zaproponowane przepisy przejściowe do zmiany ustawy z dnia 15 września 2000 r. o grupach producentów rolnych i ich związkach oraz o zmianie innych ustaw.</w:t>
      </w:r>
    </w:p>
    <w:p w14:paraId="526D01BA"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art. 154 projektowanej ustawy zostało określone, że do postępowań w sprawach określonych w art. 7 ust. 1 pkt 1 ustawy zmienianej w art. 122 wszczętych i niezakończonych ostateczną decyzją przed dniem wejścia w życie projektowanej ustawy stosuje się przepisy ustawy zmienianej w art. 122 w brzmieniu nadanym projektowaną ustawą. Z powyższego wynika, że w przypadku wniosków o uznanie za grupę producentów rolnych, które zostaną złożone do ARiMR przed wejściem w życie projektowanych zmian i w przypadku których nie nastąpi rozstrzygnięcie sprawy do dnie wejścia w życie tych zmian, będą miały zastosowanie zmienione przepisy, które wprowadzają możliwość bardziej elastycznego podejścia do kwestii uznawania grup producentów rolnych. </w:t>
      </w:r>
    </w:p>
    <w:p w14:paraId="3AE8149D"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Jednocześnie w art. 155 projektowanej ustawy określono, że do działalności grup producentów rolnych wpisanych do rejestru grup producentów rolnych na podstawie ustawy zmienianej w art. 122 przed dniem wejścia w życie projektowanej ustawy stosuje się przepisy ustawy zmienianej w art. 122 w brzmieniu dotychczasowym. Powyższe oznacza, że do podmiotów, które uzyskały status grup producentów rolnych przed wejściem w życie projektowanych zmian będą miały zastosowanie przepisy ustawy z dnia 15 września 2000 r. o grupach producentów rolnych i ich związkach oraz o zmianie innych ustaw w brzmieniu dotychczasowym. Powyższe rozwiązanie wynika z tego, że podmioty, które uzyskały status grupy producentów rolnych do dnia 31 grudnia 2022 r. mogą korzystać ze wsparcia w ramach działania 9 PROW 2014–2020 tworzenie grup producentów i organizacji producentów. Wsparcie to jest realizowane na podstawie art. 27 rozporządzenia nr 1305/2013, zgodnie z którym wsparcia udziela się do konkretnych wymienionych w nim celów. Cele określone w ww. art. 27 rozporządzenia (UE) nr 1305/2013 są zbieżne z celami określonymi w aktualnym brzmieniu art. 2 ustawy z dnia 15 września 2000 r. o grupach producentów rolnych i ich związkach oraz o zmianie innych ustaw. Dlatego jest konieczne pozostawienie możliwości stosowania aktualnego brzmienia ustawy z dnia 15 września 2000 r. o grupach producentów rolnych i ich związkach oraz o zmianie innych ustaw w odniesieniu do obecnie funkcjonujących grup producentów rolnych, które są beneficjentami ww. działania 9 PROW 2014–2020, w zakresie którego środki wsparcia będą wypłacane do 2029 r.</w:t>
      </w:r>
    </w:p>
    <w:p w14:paraId="746B8EEB"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art. 156 projektowanej ustawy proponuje się przepis przejściowy dotyczący zmiany w art. 122 ustawy z dnia 15 września 2000 r. o grupach producentów rolnych i ich związkach oraz o </w:t>
      </w:r>
      <w:r w:rsidRPr="00C543E1">
        <w:rPr>
          <w:rFonts w:ascii="Times New Roman" w:eastAsia="Times New Roman" w:hAnsi="Times New Roman"/>
          <w:sz w:val="24"/>
          <w:szCs w:val="24"/>
          <w:lang w:eastAsia="pl-PL"/>
        </w:rPr>
        <w:lastRenderedPageBreak/>
        <w:t>zmianie innych ustaw. Zmianie ulegnie m.in. brzmienie przepisu art. 8 ust. 9 tej ustawy zawierającego upoważnienie dla ministra właściwego do spraw rynków rolnych do wydania rozporządzenia w sprawie wymagań, jakie powinien spełniać plan biznesowy grup producentów rolnych. W celu zapewnienia ciągłości obowiązywania przepisów aktu wykonawczego wydanego na podstawie tego upoważnienia do czasu wydania nowego rozporządzenia na podstawie nowego brzmienia upoważnienia jest niezbędne dodanie przepisu przejściowego, zgodnie z którym przepisy wykonawcze wydane na podstawie dotychczasowego brzmienia art. 8 ust. 9 ww. ustawy zachowają moc do dnia wejścia w życie przepisów wydanych na podstawie nowego brzmienia tego przepisu, jednak nie dłużej niż przez 24 miesiące od dnia wejścia w życie projektowanej ustawy. Analogicznie w związku z pośrednią zmianą art. 6 ustawy zmienianej w art. 122 proponuje się również zachowanie w mocy przepisów wydanych na tej podstawie.</w:t>
      </w:r>
    </w:p>
    <w:p w14:paraId="5D56BCF0"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157 projektowanej ustawy zaproponowano przepis przejściowy, w którym określono, do jakich postępowań i w jakich sprawach będą stosowane przepisy ustawy z dnia 9 maja 2008 r. o Agencji Restrukturyzacji i Modernizacji Rolnictwa, zmienianej w art. 135 w brzmieniu dotychczasowym.</w:t>
      </w:r>
    </w:p>
    <w:p w14:paraId="639B2EDC"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W art. 158 projektowanej ustawy zaproponowano przepis przejściowy, w którym określono, że w sprawach dotyczących ustalenia nienależnie lub nadmiernie pobranych środków publicznych, w których płatność lub pomoc finansowa została przyznana na podstawie przepisów o wspieraniu rozwoju obszarów wiejskich z udziałem środków EFRROW PROW 2007–2013, przepisów o wspieraniu rozwoju obszarów wiejskich z udziałem środków EFRROW PROW 2014–2020 oraz przepisów o płatnościach w ramach systemów wsparcia bezpośredniego przepisy ustawy z dnia 9 maja 2008 r. o Agencji Restrukturyzacji i Modernizacji Rolnictwa, zmienianej w art. 135, stosuje się w brzmieniu dotychczasowym.</w:t>
      </w:r>
    </w:p>
    <w:p w14:paraId="5361886F" w14:textId="77777777" w:rsidR="00F9038A" w:rsidRPr="00C543E1" w:rsidRDefault="00F9038A">
      <w:pPr>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W art. 159 projektowanej ustawy proponuje się przepis przejściowy, zgodnie z postulatami samorządów, który umożliwia zwolnienie z obowiązku sprawowania nadzoru przez marszałków województw nad LGD, które w dniu wejścia w życie projektowanej ustawy nie są już stroną umowy ramowej lub umowa ramowa została już z nimi wykonana w ramach okresów programowania na lata 2007–2013 lub 2014–2020. W przedmiotowej sytuacji nie ma bowiem uzasadnionej podstawy prawnej, aby stowarzyszenia LGD dalej funkcjonowały zgodnie z art. 15 ustawy zmienianej w art. 134 pkt 1 lub art. 4 ustawy zmienianej w art. 138. Wobec tego proponuje się, aby w tym przypadku miały zastosowanie przepisy ustawy z dnia 7 kwietnia 1989 r. – Prawo o stowarzyszeniach, a kompetencje w zakresie sprawowania nadzoru nad </w:t>
      </w:r>
      <w:r w:rsidRPr="00C543E1">
        <w:rPr>
          <w:rFonts w:ascii="Times New Roman" w:eastAsia="Times New Roman" w:hAnsi="Times New Roman"/>
          <w:sz w:val="24"/>
          <w:szCs w:val="24"/>
          <w:lang w:eastAsia="pl-PL"/>
        </w:rPr>
        <w:lastRenderedPageBreak/>
        <w:t>takimi stowarzyszeniami przejął właściwy starosta. W przypadku braku podstaw do dalszej działalności LGD, o której mowa w art. 15 ustawy zmienianej w art. 134 pkt 1 lub w art. 4 ustawy zmienianej w art. 138, marszałek województwa powinien poinformować o tym fakcie lokalną grupę działania w terminie 2 miesięcy od dnia wejścia w życie projektowanej ustawy. Z kolei LGD będzie obowiązana do zmiany statutu w terminie 2 miesięcy od dnia otrzymania informacji od marszałka województwa. Do postępowania ze zmianą statutu przez LGD będą miały zastosowanie przepisy ustawy z dnia 7 kwietnia 1989 r. – Prawo o stowarzyszeniach.</w:t>
      </w:r>
    </w:p>
    <w:p w14:paraId="5FBBF459" w14:textId="553041EC" w:rsidR="00F9038A" w:rsidRPr="00C543E1" w:rsidRDefault="00F9038A">
      <w:pPr>
        <w:autoSpaceDE w:val="0"/>
        <w:autoSpaceDN w:val="0"/>
        <w:adjustRightInd w:val="0"/>
        <w:spacing w:before="120" w:after="0" w:line="360" w:lineRule="auto"/>
        <w:jc w:val="both"/>
        <w:rPr>
          <w:rFonts w:ascii="Times New Roman" w:hAnsi="Times New Roman"/>
          <w:sz w:val="24"/>
          <w:szCs w:val="24"/>
          <w:lang w:eastAsia="pl-PL"/>
        </w:rPr>
      </w:pPr>
      <w:r w:rsidRPr="00C543E1">
        <w:rPr>
          <w:rFonts w:ascii="Times New Roman" w:eastAsia="Times New Roman" w:hAnsi="Times New Roman"/>
          <w:sz w:val="24"/>
          <w:szCs w:val="24"/>
          <w:lang w:eastAsia="pl-PL"/>
        </w:rPr>
        <w:t>W art. 160 projektowanej ustawy zaproponowano przepis przejściowy, na mocy którego KOWR na podstawie dotychczasowych przepisów ustawy z dnia 9 maja 2008 r. o Agencji Restrukturyzacji i Modernizacji Rolnictwa będzie mógł wykonywać zadania w zakresie realizacji Krajowego Programu Wsparcia Pszczelarstwa w</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Polsce na lata 2020–2022 do czasu zakończenia wykonywania tych zadań. Do tych zadań należy zaliczyć przede wszystkim działania kontrolne i sprawozdawcze wynikające z</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egzekwowania postanowień umów wcześniej zawartych przez KOWR z organizacjami reprezentującymi pszczelarzy dotyczących m.in. przekazania pszczelarzom płatności przez te organizacje czy przygotowania danych do sprawozdania, o</w:t>
      </w:r>
      <w:r w:rsidR="00094E11">
        <w:rPr>
          <w:rFonts w:ascii="Times New Roman" w:eastAsia="Times New Roman" w:hAnsi="Times New Roman"/>
          <w:sz w:val="24"/>
          <w:szCs w:val="24"/>
          <w:lang w:eastAsia="pl-PL"/>
        </w:rPr>
        <w:t xml:space="preserve"> </w:t>
      </w:r>
      <w:r w:rsidRPr="00C543E1">
        <w:rPr>
          <w:rFonts w:ascii="Times New Roman" w:eastAsia="Times New Roman" w:hAnsi="Times New Roman"/>
          <w:sz w:val="24"/>
          <w:szCs w:val="24"/>
          <w:lang w:eastAsia="pl-PL"/>
        </w:rPr>
        <w:t xml:space="preserve">którym mowa w art. 10 ust. 2 rozporządzenia wykonawczego Komisji (UE) nr 2015/1368 z dnia 6 sierpnia 2015 r. ustanawiającego zasady stosowania rozporządzenia Parlamentu Europejskiego i Rady (UE) nr 1308/2013 w odniesieniu do pomocy w sektorze pszczelarskim (Dz. Urz. UE L 211 z 08.08.2015, str. 9, z późn. zm.). </w:t>
      </w:r>
    </w:p>
    <w:p w14:paraId="4899D4FF"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t xml:space="preserve">W art. 161 projektowanej ustawy </w:t>
      </w:r>
      <w:r w:rsidRPr="00C543E1">
        <w:rPr>
          <w:rFonts w:ascii="Times New Roman" w:hAnsi="Times New Roman"/>
          <w:sz w:val="24"/>
          <w:szCs w:val="24"/>
          <w:lang w:eastAsia="pl-PL"/>
        </w:rPr>
        <w:t>zaproponowano przepis przejściowy dotyczący stosowania przepisów ustawy o RLKS w odniesieniu do mijającej perspektywy finansowej</w:t>
      </w:r>
      <w:r w:rsidRPr="00C543E1">
        <w:rPr>
          <w:rFonts w:ascii="Times New Roman" w:hAnsi="Times New Roman"/>
          <w:sz w:val="24"/>
          <w:szCs w:val="24"/>
          <w:lang w:bidi="pl-PL"/>
        </w:rPr>
        <w:t xml:space="preserve">. </w:t>
      </w:r>
      <w:r w:rsidRPr="00C543E1">
        <w:rPr>
          <w:rFonts w:ascii="Times New Roman" w:hAnsi="Times New Roman"/>
          <w:sz w:val="24"/>
          <w:szCs w:val="24"/>
          <w:lang w:eastAsia="pl-PL"/>
        </w:rPr>
        <w:t>P</w:t>
      </w:r>
      <w:r w:rsidRPr="00C543E1">
        <w:rPr>
          <w:rFonts w:ascii="Times New Roman" w:eastAsia="Times New Roman" w:hAnsi="Times New Roman"/>
          <w:bCs/>
          <w:sz w:val="24"/>
          <w:szCs w:val="24"/>
          <w:lang w:eastAsia="pl-PL"/>
        </w:rPr>
        <w:t xml:space="preserve">roponuje się, żeby </w:t>
      </w:r>
      <w:r w:rsidRPr="00C543E1">
        <w:rPr>
          <w:rFonts w:ascii="Times New Roman" w:hAnsi="Times New Roman"/>
          <w:sz w:val="24"/>
          <w:szCs w:val="24"/>
          <w:lang w:eastAsia="pl-PL"/>
        </w:rPr>
        <w:t xml:space="preserve">w zakresie dotyczącym </w:t>
      </w:r>
      <w:r w:rsidRPr="00C543E1">
        <w:rPr>
          <w:rFonts w:ascii="Times New Roman" w:hAnsi="Times New Roman"/>
          <w:sz w:val="24"/>
          <w:szCs w:val="24"/>
        </w:rPr>
        <w:t xml:space="preserve">realizacji RLKS, o którym mowa w części drugiej w tytule III w rozdziale II rozporządzenia nr 1303/2013, z udziałem środków </w:t>
      </w:r>
      <w:r w:rsidRPr="00C543E1">
        <w:rPr>
          <w:rFonts w:ascii="Times New Roman" w:hAnsi="Times New Roman"/>
          <w:sz w:val="24"/>
          <w:szCs w:val="24"/>
          <w:lang w:bidi="pl-PL"/>
        </w:rPr>
        <w:t xml:space="preserve">EFRROW i Europejskiego Funduszu Rozwoju Regionalnego i Europejskiego Funduszu Społecznego </w:t>
      </w:r>
      <w:r w:rsidRPr="00C543E1">
        <w:rPr>
          <w:rFonts w:ascii="Times New Roman" w:hAnsi="Times New Roman"/>
          <w:sz w:val="24"/>
          <w:szCs w:val="24"/>
          <w:lang w:eastAsia="pl-PL"/>
        </w:rPr>
        <w:t>były stosowane przepisy w brzmieniu dotychczasowym. Warto zauważyć, że zgodnie z obowiązującym art. 1a ustawy o RLKS jej p</w:t>
      </w:r>
      <w:r w:rsidRPr="00C543E1">
        <w:rPr>
          <w:rFonts w:ascii="Times New Roman" w:eastAsia="Times New Roman" w:hAnsi="Times New Roman"/>
          <w:sz w:val="24"/>
          <w:szCs w:val="24"/>
          <w:lang w:eastAsia="pl-PL"/>
        </w:rPr>
        <w:t>rzepisów nie stosuje się do programu realizowanego z wykorzystaniem środków Europejskiego Funduszu Morskiego, Rybackiego i Akwakultury, a przepis przejściowy wskazuje, że w zakresie dotyczącym realizacji RLKS, o którym mowa w części drugiej w tytule III w rozdziale II rozporządzenia nr 1303/2013, z udziałem środków Europejskiego Funduszu Morskiego i Rybackiego mają zastosowanie przepisy ustawy o RLKS w brzmieniu dotychczasowym.</w:t>
      </w:r>
    </w:p>
    <w:p w14:paraId="508D0C3C"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lastRenderedPageBreak/>
        <w:t>W art. 162 projektowanej ustawy zaproponowano, aby decyzje wydane na podstawie art. 15 ustawy zmienianej w art. 139 wydane do dnia wejścia projektowanej ustawy pozostały w mocy i mogą być zmieniane.</w:t>
      </w:r>
    </w:p>
    <w:p w14:paraId="4E1B2C38"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t>W art. 163 projektowanej ustawy zaproponowano przepis przejściowy, zgodnie z którym osoby, które w dniu wejścia w życie projektowanej ustawy były wpisane na listę doradców rolniczych, listę doradców rolnośrodowiskowych oraz listę ekspertów przyrodniczych, uznaje się za wpisane odpowiednio na listę doradców rolniczych (w przypadku doradców rolniczych i doradców rolnośrodowiskowych) oraz listę ekspertów przyrodniczych, prowadzone na podstawie przepisów projektowanej ustawy. Podobne rozwiązanie dotyczące przenoszenia uprawnień na kolejny okres programowania obowiązywało również w ramach PROW 2014–2020. Nie ma powodu, żeby już wykształconych, posiadających doświadczenie, stale podnoszących swoją wiedzę i umiejętności, doradców wpisanych na listy prowadzone przez CDR ponownie obejmować szkoleniami podstawowymi. Za wpisem na jedną listę doradców rolniczych i doradców rolnośrodowiskowych przemawia fakt, że zarówno doradcy rolniczy, jak i doradcy rolnośrodowiskowi muszą mieć ukończone takie same studia i dużą wiedzę ogólną z zakresu rolnictwa, aby zapewnić efektywne świadczenia usług doradczych rolnikom. Dużo osób wpisanych na listę doradców rolnośrodowiskowych jest równocześnie wpisanych na listę doradców rolnośrodowiskowych, więc osoby te muszą odbywać te same szkolenia dwa razy. Wpisanie dotychczasowych doradców rolniczych na listę doradców rolniczych ze specjalizacją rolnośrodowiskową umożliwi świadczenie usług rolniczych większej liczbie osób, wyeliminuje podwójne szkolenia, a równocześnie zapewni osobom zainteresowanym świadczenie usług wyłącznie z zakresu dotychczasowego programu rolno-środowiskowo-klimatycznego na podstawie posiadanej specjalizacji.</w:t>
      </w:r>
    </w:p>
    <w:p w14:paraId="037C32B2"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t>W art. 163 ust. 4 projektowanej ustawy określono w odniesieniu do osób wpisanych na listy na podstawie ust. 1–3, obowiązek złożenia oświadczenia o zobowiązaniu do bezstronnego świadczenia usług doradczych w terminie 90 dni od dnia wejścia w życie projektowanej ustawy. Określono również konsekwencje niezłożenia tego oświadczenia, tj. skreślenie z odpowiedniej listy.</w:t>
      </w:r>
    </w:p>
    <w:p w14:paraId="4EB17BA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t>W art. 164 projektowanej ustawy proponuje się, żeby do postępowań administracyjnych o wpis na listy doradców rolniczych, doradców rolnośrodowiskowych oraz ekspertów, o których mowa w ustawie o PROW 2014–2020, były stosowane przepisy dotychczasowe.</w:t>
      </w:r>
    </w:p>
    <w:p w14:paraId="09E291B7" w14:textId="5DB91801"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lastRenderedPageBreak/>
        <w:t>W art. 165 projektowanej ustawy uregulowano przyznanie płatności dla młodych rolników rolnikowi, któremu została przyznana płatność na podstawie ustawy z dnia 5 lutego 2015 r. o</w:t>
      </w:r>
      <w:r w:rsidR="00094E11">
        <w:rPr>
          <w:rFonts w:ascii="Times New Roman" w:eastAsia="Times New Roman" w:hAnsi="Times New Roman"/>
          <w:sz w:val="24"/>
          <w:szCs w:val="24"/>
        </w:rPr>
        <w:t xml:space="preserve"> </w:t>
      </w:r>
      <w:r w:rsidRPr="00C543E1">
        <w:rPr>
          <w:rFonts w:ascii="Times New Roman" w:eastAsia="Times New Roman" w:hAnsi="Times New Roman"/>
          <w:sz w:val="24"/>
          <w:szCs w:val="24"/>
        </w:rPr>
        <w:t>płatnościach w ramach systemów wsparcia bezpośredniego uchylanej w art. 168 projektu ustawy.</w:t>
      </w:r>
    </w:p>
    <w:p w14:paraId="53FCC23E"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t>W art. 166 projektowanej ustawy uregulowano, że informacje o lokalizacji torfowisk lub trenów podmokłych zgodnie z normą GAEC2 będą zawarte w systemie identyfikacji działek rolnych od dnia 1 stycznia 2025 r., a więc w terminie, gdy norma ta zacznie obowiązywać w Polsce.</w:t>
      </w:r>
    </w:p>
    <w:p w14:paraId="22B4972C" w14:textId="3EA12BA2"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t>W art. 167 projektowanej ustawy uregulowano, że do płatności w ramach systemów wsparcia bezpośredniego, a także do postępowań w sprawach dotyczących tych płatności wszczętych i</w:t>
      </w:r>
      <w:r w:rsidR="00094E11">
        <w:rPr>
          <w:rFonts w:ascii="Times New Roman" w:eastAsia="Times New Roman" w:hAnsi="Times New Roman"/>
          <w:sz w:val="24"/>
          <w:szCs w:val="24"/>
        </w:rPr>
        <w:t xml:space="preserve"> </w:t>
      </w:r>
      <w:r w:rsidRPr="00C543E1">
        <w:rPr>
          <w:rFonts w:ascii="Times New Roman" w:eastAsia="Times New Roman" w:hAnsi="Times New Roman"/>
          <w:sz w:val="24"/>
          <w:szCs w:val="24"/>
        </w:rPr>
        <w:t>niezakończonych ostateczną decyzją przed dniem wejścia w życie projektowanej ustawy albo do postępowań wznowionych – stosuje się przepisy dotychczasowe.</w:t>
      </w:r>
    </w:p>
    <w:p w14:paraId="051833E0"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sz w:val="24"/>
          <w:szCs w:val="24"/>
        </w:rPr>
      </w:pPr>
      <w:r w:rsidRPr="00C543E1">
        <w:rPr>
          <w:rFonts w:ascii="Times New Roman" w:eastAsia="Times New Roman" w:hAnsi="Times New Roman"/>
          <w:sz w:val="24"/>
          <w:szCs w:val="24"/>
        </w:rPr>
        <w:t>W art. 168 projektowanej ustawy uregulowano utratę mocy przez ustawę z dnia 5 lutego 2015 r. o płatnościach w ramach systemów wsparcia bezpośredniego, ponieważ pomoc finansowa będzie przyznawana rolnikom i beneficjentom w latach 2023</w:t>
      </w:r>
      <w:r w:rsidRPr="00C543E1">
        <w:rPr>
          <w:rFonts w:ascii="Times New Roman" w:eastAsia="Times New Roman" w:hAnsi="Times New Roman"/>
          <w:sz w:val="24"/>
          <w:szCs w:val="24"/>
          <w:lang w:eastAsia="pl-PL"/>
        </w:rPr>
        <w:t>–</w:t>
      </w:r>
      <w:r w:rsidRPr="00C543E1">
        <w:rPr>
          <w:rFonts w:ascii="Times New Roman" w:eastAsia="Times New Roman" w:hAnsi="Times New Roman"/>
          <w:sz w:val="24"/>
          <w:szCs w:val="24"/>
        </w:rPr>
        <w:t xml:space="preserve">2027 na podstawie przepisów projektowanej ustawy. </w:t>
      </w:r>
    </w:p>
    <w:p w14:paraId="0C8AD765" w14:textId="77777777"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sz w:val="24"/>
          <w:szCs w:val="24"/>
        </w:rPr>
        <w:t xml:space="preserve">W art. 169 projektowanej ustawy proponuje się, aby projektowana ustawa weszła </w:t>
      </w:r>
      <w:r w:rsidRPr="00C543E1">
        <w:rPr>
          <w:rFonts w:ascii="Times New Roman" w:eastAsia="Times New Roman" w:hAnsi="Times New Roman"/>
          <w:bCs/>
          <w:sz w:val="24"/>
          <w:szCs w:val="24"/>
          <w:lang w:eastAsia="pl-PL"/>
        </w:rPr>
        <w:t>w życie po upływie 14 dniu od dnia jej ogłoszenia, z wyjątkiem:</w:t>
      </w:r>
    </w:p>
    <w:p w14:paraId="4575E7F3" w14:textId="77777777" w:rsidR="00F9038A" w:rsidRPr="00C543E1" w:rsidRDefault="00F9038A" w:rsidP="00530A3D">
      <w:pPr>
        <w:pStyle w:val="Akapitzlist"/>
        <w:numPr>
          <w:ilvl w:val="0"/>
          <w:numId w:val="29"/>
        </w:numPr>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przepisu dotyczącego upoważnienia ustawowego dla </w:t>
      </w:r>
      <w:r w:rsidRPr="00C543E1">
        <w:rPr>
          <w:rFonts w:ascii="Times New Roman" w:eastAsiaTheme="minorEastAsia" w:hAnsi="Times New Roman"/>
          <w:sz w:val="24"/>
          <w:szCs w:val="24"/>
          <w:lang w:eastAsia="pl-PL"/>
        </w:rPr>
        <w:t>ministra właściwego do spraw rozwoju wsi do wyznaczenia, w drodze rozporządzenia, t</w:t>
      </w:r>
      <w:r w:rsidRPr="00C543E1">
        <w:rPr>
          <w:rFonts w:ascii="Times New Roman" w:eastAsia="Times New Roman" w:hAnsi="Times New Roman"/>
          <w:sz w:val="24"/>
          <w:szCs w:val="24"/>
        </w:rPr>
        <w:t>orfowisk i obszarów podmokłych objętych normą GAEC 2, o której mowa w załączniku III do rozporządzenia 2022/2115, oraz wymogów, jakie muszą być spełnione, mając na względzie ochronę gleb bogatych w węgiel (</w:t>
      </w:r>
      <w:r w:rsidRPr="00C543E1">
        <w:rPr>
          <w:rFonts w:ascii="Times New Roman" w:eastAsia="Times New Roman" w:hAnsi="Times New Roman"/>
          <w:sz w:val="24"/>
          <w:szCs w:val="24"/>
          <w:lang w:eastAsia="pl-PL"/>
        </w:rPr>
        <w:t>art. 56 ust. 8 pkt 2), który wejdzie i w życie z dniem 1 stycznia 2025 r.;</w:t>
      </w:r>
    </w:p>
    <w:p w14:paraId="57504033" w14:textId="77777777" w:rsidR="00F9038A" w:rsidRPr="00C543E1" w:rsidRDefault="00F9038A" w:rsidP="00530A3D">
      <w:pPr>
        <w:pStyle w:val="Akapitzlist"/>
        <w:numPr>
          <w:ilvl w:val="0"/>
          <w:numId w:val="29"/>
        </w:numPr>
        <w:autoSpaceDE w:val="0"/>
        <w:autoSpaceDN w:val="0"/>
        <w:adjustRightInd w:val="0"/>
        <w:spacing w:line="360" w:lineRule="auto"/>
        <w:ind w:left="510" w:hanging="510"/>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art. 135 pkt 2 w zakresie zmienianego art. 10c ust. 12, który wchodzi w życie z dniem 1 czerwca 2023 r.; taki termin pozwoli na dostosowanie systemu teleinformatycznego ARiMR do możliwości udzielenia pełnomocnictwa w tym systemie;</w:t>
      </w:r>
    </w:p>
    <w:p w14:paraId="3CBBC616" w14:textId="77777777" w:rsidR="00F9038A" w:rsidRPr="00C543E1" w:rsidRDefault="00F9038A" w:rsidP="00530A3D">
      <w:pPr>
        <w:pStyle w:val="Akapitzlist"/>
        <w:numPr>
          <w:ilvl w:val="0"/>
          <w:numId w:val="29"/>
        </w:numPr>
        <w:autoSpaceDE w:val="0"/>
        <w:autoSpaceDN w:val="0"/>
        <w:adjustRightInd w:val="0"/>
        <w:spacing w:line="360" w:lineRule="auto"/>
        <w:ind w:left="510" w:hanging="510"/>
        <w:jc w:val="both"/>
        <w:rPr>
          <w:rFonts w:ascii="Times New Roman" w:eastAsia="Times New Roman" w:hAnsi="Times New Roman"/>
          <w:bCs/>
          <w:sz w:val="24"/>
          <w:szCs w:val="24"/>
          <w:lang w:eastAsia="pl-PL"/>
        </w:rPr>
      </w:pPr>
      <w:r w:rsidRPr="00C543E1">
        <w:rPr>
          <w:rFonts w:ascii="Times New Roman" w:eastAsia="Times New Roman" w:hAnsi="Times New Roman"/>
          <w:sz w:val="24"/>
          <w:szCs w:val="24"/>
          <w:lang w:eastAsia="pl-PL"/>
        </w:rPr>
        <w:t>art. 145 dotyczącego dotyczące uchylenia przepisów zawieszających w związku z pandemią COVID-19 szkolenia w zakresie środków ochrony roślin i kontrole sprzętu do stosowania środków ochrony roślin, który wchodzi w życie po upływie 2 miesięcy od dnia ogłoszenia; taki termin proponuje się, aby zapewnić rolnikom odpowiedni czas na ukończenie szkolenia lub poddanie sprzętu do stosowania środków ochrony roślin badaniom sprawności technicznej.</w:t>
      </w:r>
    </w:p>
    <w:p w14:paraId="0AAB0081"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lastRenderedPageBreak/>
        <w:t>Projekt ustawy jest zgodny z prawem Unii Europejskiej.</w:t>
      </w:r>
    </w:p>
    <w:p w14:paraId="5D3F056A" w14:textId="4115DBAE"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Projekt ustawy nie zawiera przepisów technicznych, a zatem nie podlega notyfikacji, zgodnie z trybem przewidzianym w przepisach rozporządzenia Rady Ministrów z dnia 23 grudnia 2002</w:t>
      </w:r>
      <w:r w:rsidR="00650170">
        <w:rPr>
          <w:rFonts w:ascii="Times New Roman" w:eastAsia="Times New Roman" w:hAnsi="Times New Roman"/>
          <w:sz w:val="24"/>
          <w:szCs w:val="24"/>
          <w:lang w:eastAsia="pl-PL"/>
        </w:rPr>
        <w:t> </w:t>
      </w:r>
      <w:r w:rsidRPr="00C543E1">
        <w:rPr>
          <w:rFonts w:ascii="Times New Roman" w:eastAsia="Times New Roman" w:hAnsi="Times New Roman"/>
          <w:sz w:val="24"/>
          <w:szCs w:val="24"/>
          <w:lang w:eastAsia="pl-PL"/>
        </w:rPr>
        <w:t>r. w sprawie sposobu funkcjonowania krajowego systemu notyfikacji norm i aktów prawnych (Dz. U. poz. 2039, z późn. zm.).</w:t>
      </w:r>
    </w:p>
    <w:p w14:paraId="55BFA852"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Projekt ustawy nie wymaga przedłożenia właściwym instytucjom i organom Unii Europejskiej, w tym Europejskiemu Bankowi Centralnemu, w celu uzyskania opinii, dokonania powiadomienia, konsultacji lub uzgodnienia.</w:t>
      </w:r>
    </w:p>
    <w:p w14:paraId="34A93273" w14:textId="77777777" w:rsidR="00F9038A" w:rsidRPr="00C543E1" w:rsidRDefault="00F9038A" w:rsidP="00530A3D">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C543E1">
        <w:rPr>
          <w:rFonts w:ascii="Times New Roman" w:eastAsia="Times New Roman" w:hAnsi="Times New Roman"/>
          <w:sz w:val="24"/>
          <w:szCs w:val="24"/>
          <w:lang w:eastAsia="pl-PL"/>
        </w:rPr>
        <w:t xml:space="preserve">Projekt będzie miał pozytywny wpływ na działalność mikro-, małych i średnich przedsiębiorców. </w:t>
      </w:r>
    </w:p>
    <w:p w14:paraId="5A012564" w14:textId="75A64ACA" w:rsidR="00F9038A" w:rsidRPr="00C543E1" w:rsidRDefault="00F9038A" w:rsidP="00530A3D">
      <w:pPr>
        <w:autoSpaceDE w:val="0"/>
        <w:autoSpaceDN w:val="0"/>
        <w:adjustRightInd w:val="0"/>
        <w:spacing w:before="120" w:after="0" w:line="360" w:lineRule="auto"/>
        <w:jc w:val="both"/>
        <w:rPr>
          <w:rFonts w:ascii="Times New Roman" w:eastAsia="Times New Roman" w:hAnsi="Times New Roman"/>
          <w:bCs/>
          <w:sz w:val="24"/>
          <w:szCs w:val="24"/>
          <w:lang w:eastAsia="pl-PL"/>
        </w:rPr>
      </w:pPr>
      <w:r w:rsidRPr="00C543E1">
        <w:rPr>
          <w:rFonts w:ascii="Times New Roman" w:eastAsia="Times New Roman" w:hAnsi="Times New Roman"/>
          <w:bCs/>
          <w:sz w:val="24"/>
          <w:szCs w:val="24"/>
          <w:lang w:eastAsia="pl-PL"/>
        </w:rPr>
        <w:t>Projektowane przepisy będą miały pośredni pozytywny wpływ na sytuację ekonomiczną i</w:t>
      </w:r>
      <w:r w:rsidR="00650170">
        <w:rPr>
          <w:rFonts w:ascii="Times New Roman" w:eastAsia="Times New Roman" w:hAnsi="Times New Roman"/>
          <w:bCs/>
          <w:sz w:val="24"/>
          <w:szCs w:val="24"/>
          <w:lang w:eastAsia="pl-PL"/>
        </w:rPr>
        <w:t> </w:t>
      </w:r>
      <w:r w:rsidRPr="00C543E1">
        <w:rPr>
          <w:rFonts w:ascii="Times New Roman" w:eastAsia="Times New Roman" w:hAnsi="Times New Roman"/>
          <w:bCs/>
          <w:sz w:val="24"/>
          <w:szCs w:val="24"/>
          <w:lang w:eastAsia="pl-PL"/>
        </w:rPr>
        <w:t>społeczną rodziny, a także osób niepełnosprawnych oraz osób starszych.</w:t>
      </w:r>
    </w:p>
    <w:p w14:paraId="35646033" w14:textId="3DFD9612" w:rsidR="00BF022C" w:rsidRPr="00530A3D" w:rsidRDefault="00F9038A" w:rsidP="00530A3D">
      <w:pPr>
        <w:autoSpaceDE w:val="0"/>
        <w:autoSpaceDN w:val="0"/>
        <w:adjustRightInd w:val="0"/>
        <w:spacing w:before="120" w:after="0" w:line="360" w:lineRule="auto"/>
        <w:jc w:val="both"/>
        <w:rPr>
          <w:rFonts w:ascii="Times New Roman" w:hAnsi="Times New Roman"/>
          <w:sz w:val="24"/>
          <w:szCs w:val="24"/>
        </w:rPr>
      </w:pPr>
      <w:r w:rsidRPr="00C543E1">
        <w:rPr>
          <w:rFonts w:ascii="Times New Roman" w:eastAsia="Times New Roman" w:hAnsi="Times New Roman"/>
          <w:sz w:val="24"/>
          <w:szCs w:val="24"/>
          <w:lang w:eastAsia="pl-PL"/>
        </w:rPr>
        <w:t>Projekt ustawy został udostępniony w Biuletynie Informacji Publicznej na stronie internetowej Rządowego Centrum Legislacji w zakładce Rządowy Proces Legislacyjny zgodnie z § 52 uchwały nr 190 Rady Ministrów z dnia 29 października 2013 r. – Regulamin pracy Rady Ministrów (M.P. z 2022 r. poz. 348) oraz stosownie do wymogów art. 5 ustawy z dnia 7 lipca 2005 r. o działalności lobbingowej w procesie stanowienia prawa (Dz. U. z 2017 r. poz. 248).</w:t>
      </w:r>
    </w:p>
    <w:sectPr w:rsidR="00BF022C" w:rsidRPr="00530A3D" w:rsidSect="00530A3D">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99C20" w14:textId="77777777" w:rsidR="00C8775E" w:rsidRDefault="00C8775E">
      <w:pPr>
        <w:spacing w:after="0" w:line="240" w:lineRule="auto"/>
      </w:pPr>
      <w:r>
        <w:separator/>
      </w:r>
    </w:p>
  </w:endnote>
  <w:endnote w:type="continuationSeparator" w:id="0">
    <w:p w14:paraId="59282BCF" w14:textId="77777777" w:rsidR="00C8775E" w:rsidRDefault="00C8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EE"/>
    <w:family w:val="swiss"/>
    <w:notTrueType/>
    <w:pitch w:val="default"/>
    <w:sig w:usb0="00000007" w:usb1="00000000" w:usb2="00000000" w:usb3="00000000" w:csb0="00000003" w:csb1="00000000"/>
  </w:font>
  <w:font w:name="TimesNewRomanPSMT">
    <w:altName w:val="Arial"/>
    <w:panose1 w:val="00000000000000000000"/>
    <w:charset w:val="00"/>
    <w:family w:val="swiss"/>
    <w:notTrueType/>
    <w:pitch w:val="default"/>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791675"/>
      <w:docPartObj>
        <w:docPartGallery w:val="Page Numbers (Bottom of Page)"/>
        <w:docPartUnique/>
      </w:docPartObj>
    </w:sdtPr>
    <w:sdtEndPr/>
    <w:sdtContent>
      <w:p w14:paraId="323331B2" w14:textId="327CBAF5" w:rsidR="006C2A44" w:rsidRDefault="006C2A44">
        <w:pPr>
          <w:pStyle w:val="Stopka"/>
          <w:jc w:val="center"/>
        </w:pPr>
        <w:r>
          <w:fldChar w:fldCharType="begin"/>
        </w:r>
        <w:r>
          <w:instrText>PAGE   \* MERGEFORMAT</w:instrText>
        </w:r>
        <w:r>
          <w:fldChar w:fldCharType="separate"/>
        </w:r>
        <w:r w:rsidR="00766937">
          <w:rPr>
            <w:noProof/>
          </w:rPr>
          <w:t>2</w:t>
        </w:r>
        <w:r>
          <w:fldChar w:fldCharType="end"/>
        </w:r>
      </w:p>
    </w:sdtContent>
  </w:sdt>
  <w:p w14:paraId="71063EBF" w14:textId="77777777" w:rsidR="006C2A44" w:rsidRDefault="006C2A4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DE8F0" w14:textId="77777777" w:rsidR="00C8775E" w:rsidRDefault="00C8775E">
      <w:pPr>
        <w:spacing w:after="0" w:line="240" w:lineRule="auto"/>
      </w:pPr>
      <w:r>
        <w:separator/>
      </w:r>
    </w:p>
  </w:footnote>
  <w:footnote w:type="continuationSeparator" w:id="0">
    <w:p w14:paraId="36672904" w14:textId="77777777" w:rsidR="00C8775E" w:rsidRDefault="00C87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4FD"/>
    <w:multiLevelType w:val="hybridMultilevel"/>
    <w:tmpl w:val="4F04B4B0"/>
    <w:lvl w:ilvl="0" w:tplc="04150017">
      <w:start w:val="1"/>
      <w:numFmt w:val="lowerLetter"/>
      <w:lvlText w:val="%1)"/>
      <w:lvlJc w:val="left"/>
      <w:pPr>
        <w:ind w:left="1040" w:hanging="360"/>
      </w:p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 w15:restartNumberingAfterBreak="0">
    <w:nsid w:val="01695AB9"/>
    <w:multiLevelType w:val="hybridMultilevel"/>
    <w:tmpl w:val="7F2EAA7C"/>
    <w:lvl w:ilvl="0" w:tplc="04150017">
      <w:start w:val="1"/>
      <w:numFmt w:val="lowerLetter"/>
      <w:lvlText w:val="%1)"/>
      <w:lvlJc w:val="left"/>
      <w:pPr>
        <w:ind w:left="870" w:hanging="360"/>
      </w:p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01EB3EA5"/>
    <w:multiLevelType w:val="hybridMultilevel"/>
    <w:tmpl w:val="C71ABB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3A365C"/>
    <w:multiLevelType w:val="hybridMultilevel"/>
    <w:tmpl w:val="35F09C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C03C07"/>
    <w:multiLevelType w:val="hybridMultilevel"/>
    <w:tmpl w:val="575A957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5B7C63"/>
    <w:multiLevelType w:val="multilevel"/>
    <w:tmpl w:val="017084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0D44B2D"/>
    <w:multiLevelType w:val="hybridMultilevel"/>
    <w:tmpl w:val="8DC423C2"/>
    <w:lvl w:ilvl="0" w:tplc="04150011">
      <w:start w:val="1"/>
      <w:numFmt w:val="decimal"/>
      <w:lvlText w:val="%1)"/>
      <w:lvlJc w:val="left"/>
      <w:pPr>
        <w:ind w:left="700" w:hanging="360"/>
      </w:p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10FB3222"/>
    <w:multiLevelType w:val="hybridMultilevel"/>
    <w:tmpl w:val="001C9A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C43C0F"/>
    <w:multiLevelType w:val="hybridMultilevel"/>
    <w:tmpl w:val="941ECE4C"/>
    <w:lvl w:ilvl="0" w:tplc="04150017">
      <w:start w:val="1"/>
      <w:numFmt w:val="lowerLetter"/>
      <w:lvlText w:val="%1)"/>
      <w:lvlJc w:val="left"/>
      <w:pPr>
        <w:ind w:left="870" w:hanging="360"/>
      </w:p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9" w15:restartNumberingAfterBreak="0">
    <w:nsid w:val="1C5C319A"/>
    <w:multiLevelType w:val="hybridMultilevel"/>
    <w:tmpl w:val="8ABCE922"/>
    <w:lvl w:ilvl="0" w:tplc="04150017">
      <w:start w:val="1"/>
      <w:numFmt w:val="lowerLetter"/>
      <w:lvlText w:val="%1)"/>
      <w:lvlJc w:val="left"/>
      <w:pPr>
        <w:ind w:left="1068" w:hanging="360"/>
      </w:pPr>
    </w:lvl>
    <w:lvl w:ilvl="1" w:tplc="04150017">
      <w:start w:val="1"/>
      <w:numFmt w:val="lowerLetter"/>
      <w:lvlText w:val="%2)"/>
      <w:lvlJc w:val="left"/>
      <w:pPr>
        <w:ind w:left="1788" w:hanging="360"/>
      </w:pPr>
    </w:lvl>
    <w:lvl w:ilvl="2" w:tplc="B066B59A">
      <w:start w:val="1"/>
      <w:numFmt w:val="decimal"/>
      <w:lvlText w:val="%3)"/>
      <w:lvlJc w:val="left"/>
      <w:pPr>
        <w:ind w:left="3038" w:hanging="710"/>
      </w:pPr>
      <w:rPr>
        <w:rFonts w:hint="default"/>
      </w:rPr>
    </w:lvl>
    <w:lvl w:ilvl="3" w:tplc="4E0812C0">
      <w:numFmt w:val="bullet"/>
      <w:lvlText w:val="•"/>
      <w:lvlJc w:val="left"/>
      <w:pPr>
        <w:ind w:left="3573" w:hanging="705"/>
      </w:pPr>
      <w:rPr>
        <w:rFonts w:ascii="Times New Roman" w:eastAsiaTheme="minorEastAsia" w:hAnsi="Times New Roman" w:cs="Times New Roman" w:hint="default"/>
      </w:r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C6C10F2"/>
    <w:multiLevelType w:val="hybridMultilevel"/>
    <w:tmpl w:val="7D8035E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6602B5"/>
    <w:multiLevelType w:val="hybridMultilevel"/>
    <w:tmpl w:val="1604191A"/>
    <w:lvl w:ilvl="0" w:tplc="04150011">
      <w:start w:val="1"/>
      <w:numFmt w:val="decimal"/>
      <w:lvlText w:val="%1)"/>
      <w:lvlJc w:val="left"/>
      <w:pPr>
        <w:ind w:left="870" w:hanging="360"/>
      </w:p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2" w15:restartNumberingAfterBreak="0">
    <w:nsid w:val="24EA5E2D"/>
    <w:multiLevelType w:val="hybridMultilevel"/>
    <w:tmpl w:val="6622C5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7A66B7"/>
    <w:multiLevelType w:val="hybridMultilevel"/>
    <w:tmpl w:val="842C1ED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FA2520"/>
    <w:multiLevelType w:val="hybridMultilevel"/>
    <w:tmpl w:val="0B2E39F8"/>
    <w:lvl w:ilvl="0" w:tplc="04150017">
      <w:start w:val="1"/>
      <w:numFmt w:val="lowerLetter"/>
      <w:lvlText w:val="%1)"/>
      <w:lvlJc w:val="left"/>
      <w:pPr>
        <w:ind w:left="870" w:hanging="360"/>
      </w:p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2BE5327A"/>
    <w:multiLevelType w:val="hybridMultilevel"/>
    <w:tmpl w:val="C1488AAE"/>
    <w:lvl w:ilvl="0" w:tplc="B262F72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0394396"/>
    <w:multiLevelType w:val="hybridMultilevel"/>
    <w:tmpl w:val="15C691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694D6C"/>
    <w:multiLevelType w:val="hybridMultilevel"/>
    <w:tmpl w:val="BF466716"/>
    <w:lvl w:ilvl="0" w:tplc="04150011">
      <w:start w:val="1"/>
      <w:numFmt w:val="decimal"/>
      <w:lvlText w:val="%1)"/>
      <w:lvlJc w:val="left"/>
      <w:pPr>
        <w:ind w:left="530" w:hanging="360"/>
      </w:pPr>
    </w:lvl>
    <w:lvl w:ilvl="1" w:tplc="04150019">
      <w:start w:val="1"/>
      <w:numFmt w:val="lowerLetter"/>
      <w:lvlText w:val="%2."/>
      <w:lvlJc w:val="left"/>
      <w:pPr>
        <w:ind w:left="1250" w:hanging="360"/>
      </w:pPr>
    </w:lvl>
    <w:lvl w:ilvl="2" w:tplc="0415001B">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18" w15:restartNumberingAfterBreak="0">
    <w:nsid w:val="39DD1A1D"/>
    <w:multiLevelType w:val="hybridMultilevel"/>
    <w:tmpl w:val="69869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CC91D8D"/>
    <w:multiLevelType w:val="hybridMultilevel"/>
    <w:tmpl w:val="C406CB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68366C"/>
    <w:multiLevelType w:val="hybridMultilevel"/>
    <w:tmpl w:val="F8C06BB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3242D4"/>
    <w:multiLevelType w:val="hybridMultilevel"/>
    <w:tmpl w:val="EF96CCB4"/>
    <w:lvl w:ilvl="0" w:tplc="04150011">
      <w:start w:val="1"/>
      <w:numFmt w:val="decimal"/>
      <w:lvlText w:val="%1)"/>
      <w:lvlJc w:val="left"/>
      <w:pPr>
        <w:ind w:left="720" w:hanging="360"/>
      </w:pPr>
    </w:lvl>
    <w:lvl w:ilvl="1" w:tplc="A342B2DA">
      <w:start w:val="1"/>
      <w:numFmt w:val="lowerLetter"/>
      <w:lvlText w:val="%2)"/>
      <w:lvlJc w:val="left"/>
      <w:pPr>
        <w:ind w:left="1560" w:hanging="48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A8F212F"/>
    <w:multiLevelType w:val="hybridMultilevel"/>
    <w:tmpl w:val="776851C2"/>
    <w:lvl w:ilvl="0" w:tplc="04150011">
      <w:start w:val="1"/>
      <w:numFmt w:val="decimal"/>
      <w:lvlText w:val="%1)"/>
      <w:lvlJc w:val="left"/>
      <w:pPr>
        <w:ind w:left="700" w:hanging="360"/>
      </w:pPr>
    </w:lvl>
    <w:lvl w:ilvl="1" w:tplc="04150019">
      <w:start w:val="1"/>
      <w:numFmt w:val="lowerLetter"/>
      <w:lvlText w:val="%2."/>
      <w:lvlJc w:val="left"/>
      <w:pPr>
        <w:ind w:left="1420" w:hanging="360"/>
      </w:pPr>
    </w:lvl>
    <w:lvl w:ilvl="2" w:tplc="0415001B">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23" w15:restartNumberingAfterBreak="0">
    <w:nsid w:val="4D2C4DCE"/>
    <w:multiLevelType w:val="hybridMultilevel"/>
    <w:tmpl w:val="4AEEF1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5503A4"/>
    <w:multiLevelType w:val="hybridMultilevel"/>
    <w:tmpl w:val="BDB666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83071E"/>
    <w:multiLevelType w:val="hybridMultilevel"/>
    <w:tmpl w:val="71CE86D4"/>
    <w:lvl w:ilvl="0" w:tplc="04150011">
      <w:start w:val="1"/>
      <w:numFmt w:val="decimal"/>
      <w:lvlText w:val="%1)"/>
      <w:lvlJc w:val="left"/>
      <w:pPr>
        <w:ind w:left="1074" w:hanging="360"/>
      </w:pPr>
    </w:lvl>
    <w:lvl w:ilvl="1" w:tplc="04150019">
      <w:start w:val="1"/>
      <w:numFmt w:val="lowerLetter"/>
      <w:lvlText w:val="%2."/>
      <w:lvlJc w:val="left"/>
      <w:pPr>
        <w:ind w:left="1794" w:hanging="360"/>
      </w:pPr>
    </w:lvl>
    <w:lvl w:ilvl="2" w:tplc="04150011">
      <w:start w:val="1"/>
      <w:numFmt w:val="decimal"/>
      <w:lvlText w:val="%3)"/>
      <w:lvlJc w:val="lef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6" w15:restartNumberingAfterBreak="0">
    <w:nsid w:val="56043286"/>
    <w:multiLevelType w:val="hybridMultilevel"/>
    <w:tmpl w:val="EF227C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4E7340"/>
    <w:multiLevelType w:val="hybridMultilevel"/>
    <w:tmpl w:val="606C9A9C"/>
    <w:lvl w:ilvl="0" w:tplc="04150017">
      <w:start w:val="1"/>
      <w:numFmt w:val="lowerLetter"/>
      <w:lvlText w:val="%1)"/>
      <w:lvlJc w:val="left"/>
      <w:pPr>
        <w:ind w:left="870" w:hanging="360"/>
      </w:p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8" w15:restartNumberingAfterBreak="0">
    <w:nsid w:val="60670E67"/>
    <w:multiLevelType w:val="hybridMultilevel"/>
    <w:tmpl w:val="61F2EB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7B5C6C"/>
    <w:multiLevelType w:val="hybridMultilevel"/>
    <w:tmpl w:val="AD10C24A"/>
    <w:lvl w:ilvl="0" w:tplc="04150017">
      <w:start w:val="1"/>
      <w:numFmt w:val="lowerLetter"/>
      <w:lvlText w:val="%1)"/>
      <w:lvlJc w:val="left"/>
      <w:pPr>
        <w:ind w:left="1040" w:hanging="360"/>
      </w:p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30" w15:restartNumberingAfterBreak="0">
    <w:nsid w:val="6C251942"/>
    <w:multiLevelType w:val="hybridMultilevel"/>
    <w:tmpl w:val="72AA81D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E7018A8"/>
    <w:multiLevelType w:val="hybridMultilevel"/>
    <w:tmpl w:val="10E43AEC"/>
    <w:lvl w:ilvl="0" w:tplc="04150017">
      <w:start w:val="1"/>
      <w:numFmt w:val="lowerLetter"/>
      <w:lvlText w:val="%1)"/>
      <w:lvlJc w:val="left"/>
      <w:pPr>
        <w:ind w:left="870" w:hanging="360"/>
      </w:p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2" w15:restartNumberingAfterBreak="0">
    <w:nsid w:val="753E25E3"/>
    <w:multiLevelType w:val="hybridMultilevel"/>
    <w:tmpl w:val="665A20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5AE6504"/>
    <w:multiLevelType w:val="hybridMultilevel"/>
    <w:tmpl w:val="CC568D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417FA0"/>
    <w:multiLevelType w:val="hybridMultilevel"/>
    <w:tmpl w:val="FCE221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170047"/>
    <w:multiLevelType w:val="hybridMultilevel"/>
    <w:tmpl w:val="B8EA9B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9E21D38"/>
    <w:multiLevelType w:val="hybridMultilevel"/>
    <w:tmpl w:val="58FC29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B0E254D"/>
    <w:multiLevelType w:val="hybridMultilevel"/>
    <w:tmpl w:val="72B0559A"/>
    <w:lvl w:ilvl="0" w:tplc="04150011">
      <w:start w:val="1"/>
      <w:numFmt w:val="decimal"/>
      <w:lvlText w:val="%1)"/>
      <w:lvlJc w:val="left"/>
      <w:pPr>
        <w:ind w:left="700" w:hanging="360"/>
      </w:pPr>
    </w:lvl>
    <w:lvl w:ilvl="1" w:tplc="04150019">
      <w:start w:val="1"/>
      <w:numFmt w:val="lowerLetter"/>
      <w:lvlText w:val="%2."/>
      <w:lvlJc w:val="left"/>
      <w:pPr>
        <w:ind w:left="1420" w:hanging="360"/>
      </w:pPr>
    </w:lvl>
    <w:lvl w:ilvl="2" w:tplc="0415001B">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8" w15:restartNumberingAfterBreak="0">
    <w:nsid w:val="7B275F88"/>
    <w:multiLevelType w:val="hybridMultilevel"/>
    <w:tmpl w:val="69D0EF0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7CAC21C7"/>
    <w:multiLevelType w:val="hybridMultilevel"/>
    <w:tmpl w:val="066222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21"/>
  </w:num>
  <w:num w:numId="3">
    <w:abstractNumId w:val="5"/>
  </w:num>
  <w:num w:numId="4">
    <w:abstractNumId w:val="30"/>
  </w:num>
  <w:num w:numId="5">
    <w:abstractNumId w:val="28"/>
  </w:num>
  <w:num w:numId="6">
    <w:abstractNumId w:val="9"/>
  </w:num>
  <w:num w:numId="7">
    <w:abstractNumId w:val="25"/>
  </w:num>
  <w:num w:numId="8">
    <w:abstractNumId w:val="24"/>
  </w:num>
  <w:num w:numId="9">
    <w:abstractNumId w:val="13"/>
  </w:num>
  <w:num w:numId="10">
    <w:abstractNumId w:val="34"/>
  </w:num>
  <w:num w:numId="11">
    <w:abstractNumId w:val="32"/>
  </w:num>
  <w:num w:numId="12">
    <w:abstractNumId w:val="33"/>
  </w:num>
  <w:num w:numId="13">
    <w:abstractNumId w:val="11"/>
  </w:num>
  <w:num w:numId="14">
    <w:abstractNumId w:val="38"/>
  </w:num>
  <w:num w:numId="15">
    <w:abstractNumId w:val="37"/>
  </w:num>
  <w:num w:numId="16">
    <w:abstractNumId w:val="14"/>
  </w:num>
  <w:num w:numId="17">
    <w:abstractNumId w:val="27"/>
  </w:num>
  <w:num w:numId="18">
    <w:abstractNumId w:val="31"/>
  </w:num>
  <w:num w:numId="19">
    <w:abstractNumId w:val="26"/>
  </w:num>
  <w:num w:numId="20">
    <w:abstractNumId w:val="22"/>
  </w:num>
  <w:num w:numId="21">
    <w:abstractNumId w:val="20"/>
  </w:num>
  <w:num w:numId="22">
    <w:abstractNumId w:val="10"/>
  </w:num>
  <w:num w:numId="23">
    <w:abstractNumId w:val="8"/>
  </w:num>
  <w:num w:numId="24">
    <w:abstractNumId w:val="4"/>
  </w:num>
  <w:num w:numId="25">
    <w:abstractNumId w:val="12"/>
  </w:num>
  <w:num w:numId="26">
    <w:abstractNumId w:val="7"/>
  </w:num>
  <w:num w:numId="27">
    <w:abstractNumId w:val="19"/>
  </w:num>
  <w:num w:numId="28">
    <w:abstractNumId w:val="23"/>
  </w:num>
  <w:num w:numId="29">
    <w:abstractNumId w:val="6"/>
  </w:num>
  <w:num w:numId="30">
    <w:abstractNumId w:val="39"/>
  </w:num>
  <w:num w:numId="31">
    <w:abstractNumId w:val="0"/>
  </w:num>
  <w:num w:numId="32">
    <w:abstractNumId w:val="29"/>
  </w:num>
  <w:num w:numId="33">
    <w:abstractNumId w:val="18"/>
  </w:num>
  <w:num w:numId="34">
    <w:abstractNumId w:val="2"/>
  </w:num>
  <w:num w:numId="35">
    <w:abstractNumId w:val="1"/>
  </w:num>
  <w:num w:numId="36">
    <w:abstractNumId w:val="17"/>
  </w:num>
  <w:num w:numId="37">
    <w:abstractNumId w:val="35"/>
  </w:num>
  <w:num w:numId="38">
    <w:abstractNumId w:val="3"/>
  </w:num>
  <w:num w:numId="39">
    <w:abstractNumId w:val="16"/>
  </w:num>
  <w:num w:numId="40">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38A"/>
    <w:rsid w:val="00071B41"/>
    <w:rsid w:val="00094E11"/>
    <w:rsid w:val="000A3147"/>
    <w:rsid w:val="001F495F"/>
    <w:rsid w:val="00247E68"/>
    <w:rsid w:val="0028529A"/>
    <w:rsid w:val="002B6F6E"/>
    <w:rsid w:val="00506234"/>
    <w:rsid w:val="00530A3D"/>
    <w:rsid w:val="00610698"/>
    <w:rsid w:val="00650170"/>
    <w:rsid w:val="00692B73"/>
    <w:rsid w:val="006C2A44"/>
    <w:rsid w:val="007536A1"/>
    <w:rsid w:val="00766937"/>
    <w:rsid w:val="00796DF3"/>
    <w:rsid w:val="00833EDE"/>
    <w:rsid w:val="00841589"/>
    <w:rsid w:val="00853C16"/>
    <w:rsid w:val="008D6A2C"/>
    <w:rsid w:val="008E5764"/>
    <w:rsid w:val="00AC5DE2"/>
    <w:rsid w:val="00BC45FB"/>
    <w:rsid w:val="00BF022C"/>
    <w:rsid w:val="00C543E1"/>
    <w:rsid w:val="00C8775E"/>
    <w:rsid w:val="00DC376C"/>
    <w:rsid w:val="00DF447D"/>
    <w:rsid w:val="00E14343"/>
    <w:rsid w:val="00EA6FFF"/>
    <w:rsid w:val="00EB2478"/>
    <w:rsid w:val="00EC7695"/>
    <w:rsid w:val="00F6065B"/>
    <w:rsid w:val="00F8206D"/>
    <w:rsid w:val="00F903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BFAE3"/>
  <w15:chartTrackingRefBased/>
  <w15:docId w15:val="{1A4C5B36-4519-465A-A3FC-226460326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9038A"/>
    <w:rPr>
      <w:rFonts w:ascii="Calibri" w:eastAsia="Calibri" w:hAnsi="Calibri" w:cs="Times New Roman"/>
    </w:rPr>
  </w:style>
  <w:style w:type="paragraph" w:styleId="Nagwek1">
    <w:name w:val="heading 1"/>
    <w:basedOn w:val="Normalny"/>
    <w:next w:val="Normalny"/>
    <w:link w:val="Nagwek1Znak"/>
    <w:qFormat/>
    <w:rsid w:val="00F9038A"/>
    <w:pPr>
      <w:keepNext/>
      <w:keepLines/>
      <w:widowControl w:val="0"/>
      <w:suppressAutoHyphens/>
      <w:spacing w:before="480" w:after="0" w:line="360" w:lineRule="auto"/>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Nagwek2">
    <w:name w:val="heading 2"/>
    <w:basedOn w:val="Normalny"/>
    <w:next w:val="Normalny"/>
    <w:link w:val="Nagwek2Znak"/>
    <w:uiPriority w:val="99"/>
    <w:unhideWhenUsed/>
    <w:qFormat/>
    <w:rsid w:val="00F903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qFormat/>
    <w:rsid w:val="00F9038A"/>
    <w:pPr>
      <w:keepNext/>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uiPriority w:val="99"/>
    <w:semiHidden/>
    <w:unhideWhenUsed/>
    <w:qFormat/>
    <w:rsid w:val="00F9038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9038A"/>
    <w:rPr>
      <w:rFonts w:asciiTheme="majorHAnsi" w:eastAsiaTheme="majorEastAsia" w:hAnsiTheme="majorHAnsi" w:cstheme="majorBidi"/>
      <w:b/>
      <w:bCs/>
      <w:color w:val="2E74B5" w:themeColor="accent1" w:themeShade="BF"/>
      <w:kern w:val="1"/>
      <w:sz w:val="28"/>
      <w:szCs w:val="28"/>
      <w:lang w:eastAsia="ar-SA"/>
    </w:rPr>
  </w:style>
  <w:style w:type="character" w:customStyle="1" w:styleId="Nagwek2Znak">
    <w:name w:val="Nagłówek 2 Znak"/>
    <w:basedOn w:val="Domylnaczcionkaakapitu"/>
    <w:link w:val="Nagwek2"/>
    <w:uiPriority w:val="99"/>
    <w:rsid w:val="00F9038A"/>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rsid w:val="00F9038A"/>
    <w:rPr>
      <w:rFonts w:ascii="Arial" w:eastAsia="Times New Roman" w:hAnsi="Arial" w:cs="Arial"/>
      <w:b/>
      <w:bCs/>
      <w:sz w:val="26"/>
      <w:szCs w:val="26"/>
      <w:lang w:eastAsia="pl-PL"/>
    </w:rPr>
  </w:style>
  <w:style w:type="character" w:customStyle="1" w:styleId="Nagwek4Znak">
    <w:name w:val="Nagłówek 4 Znak"/>
    <w:basedOn w:val="Domylnaczcionkaakapitu"/>
    <w:link w:val="Nagwek4"/>
    <w:uiPriority w:val="99"/>
    <w:semiHidden/>
    <w:rsid w:val="00F9038A"/>
    <w:rPr>
      <w:rFonts w:asciiTheme="majorHAnsi" w:eastAsiaTheme="majorEastAsia" w:hAnsiTheme="majorHAnsi" w:cstheme="majorBidi"/>
      <w:i/>
      <w:iCs/>
      <w:color w:val="2E74B5" w:themeColor="accent1" w:themeShade="BF"/>
    </w:rPr>
  </w:style>
  <w:style w:type="paragraph" w:customStyle="1" w:styleId="ZLITwPKTzmlitwpktartykuempunktem">
    <w:name w:val="Z/LIT_w_PKT – zm. lit. w pkt artykułem (punktem)"/>
    <w:basedOn w:val="LITlitera"/>
    <w:uiPriority w:val="32"/>
    <w:qFormat/>
    <w:rsid w:val="00F9038A"/>
    <w:pPr>
      <w:ind w:left="1497"/>
    </w:pPr>
  </w:style>
  <w:style w:type="paragraph" w:customStyle="1" w:styleId="ZTIRwPKTzmtirwpktartykuempunktem">
    <w:name w:val="Z/TIR_w_PKT – zm. tir. w pkt artykułem (punktem)"/>
    <w:basedOn w:val="TIRtiret"/>
    <w:uiPriority w:val="33"/>
    <w:qFormat/>
    <w:rsid w:val="00F903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9038A"/>
    <w:pPr>
      <w:ind w:left="1021"/>
    </w:pPr>
  </w:style>
  <w:style w:type="paragraph" w:customStyle="1" w:styleId="2TIRpodwjnytiret">
    <w:name w:val="2TIR – podwójny tiret"/>
    <w:basedOn w:val="TIRtiret"/>
    <w:uiPriority w:val="73"/>
    <w:qFormat/>
    <w:rsid w:val="00F9038A"/>
    <w:pPr>
      <w:ind w:left="1780"/>
    </w:pPr>
  </w:style>
  <w:style w:type="character" w:styleId="Odwoanieprzypisudolnego">
    <w:name w:val="footnote reference"/>
    <w:aliases w:val="Footnote Reference Number"/>
    <w:uiPriority w:val="99"/>
    <w:rsid w:val="00F9038A"/>
    <w:rPr>
      <w:rFonts w:cs="Times New Roman"/>
      <w:vertAlign w:val="superscript"/>
    </w:rPr>
  </w:style>
  <w:style w:type="paragraph" w:styleId="Nagwek">
    <w:name w:val="header"/>
    <w:basedOn w:val="Normalny"/>
    <w:link w:val="NagwekZnak"/>
    <w:uiPriority w:val="99"/>
    <w:rsid w:val="00F9038A"/>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NagwekZnak">
    <w:name w:val="Nagłówek Znak"/>
    <w:basedOn w:val="Domylnaczcionkaakapitu"/>
    <w:link w:val="Nagwek"/>
    <w:uiPriority w:val="99"/>
    <w:rsid w:val="00F9038A"/>
    <w:rPr>
      <w:rFonts w:ascii="Times" w:eastAsia="Times New Roman" w:hAnsi="Times" w:cs="Times New Roman"/>
      <w:kern w:val="1"/>
      <w:sz w:val="24"/>
      <w:szCs w:val="24"/>
      <w:lang w:eastAsia="ar-SA"/>
    </w:rPr>
  </w:style>
  <w:style w:type="paragraph" w:styleId="Stopka">
    <w:name w:val="footer"/>
    <w:basedOn w:val="Normalny"/>
    <w:link w:val="StopkaZnak"/>
    <w:uiPriority w:val="99"/>
    <w:rsid w:val="00F9038A"/>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StopkaZnak">
    <w:name w:val="Stopka Znak"/>
    <w:basedOn w:val="Domylnaczcionkaakapitu"/>
    <w:link w:val="Stopka"/>
    <w:uiPriority w:val="99"/>
    <w:rsid w:val="00F9038A"/>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F9038A"/>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F9038A"/>
    <w:rPr>
      <w:rFonts w:ascii="Tahoma" w:eastAsia="Times New Roman" w:hAnsi="Tahoma" w:cs="Tahoma"/>
      <w:kern w:val="1"/>
      <w:sz w:val="24"/>
      <w:szCs w:val="16"/>
      <w:lang w:eastAsia="ar-SA"/>
    </w:rPr>
  </w:style>
  <w:style w:type="paragraph" w:customStyle="1" w:styleId="ARTartustawynprozporzdzenia">
    <w:name w:val="ART(§) – art. ustawy (§ np. rozporządzenia)"/>
    <w:link w:val="ARTartustawynprozporzdzeniaZnak"/>
    <w:uiPriority w:val="11"/>
    <w:qFormat/>
    <w:rsid w:val="00F9038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9038A"/>
    <w:pPr>
      <w:ind w:left="1497"/>
    </w:pPr>
  </w:style>
  <w:style w:type="paragraph" w:customStyle="1" w:styleId="ZTIRwLITzmtirwlitartykuempunktem">
    <w:name w:val="Z/TIR_w_LIT – zm. tir. w lit. artykułem (punktem)"/>
    <w:basedOn w:val="TIRtiret"/>
    <w:uiPriority w:val="33"/>
    <w:qFormat/>
    <w:rsid w:val="00F903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9038A"/>
  </w:style>
  <w:style w:type="paragraph" w:styleId="Bezodstpw">
    <w:name w:val="No Spacing"/>
    <w:uiPriority w:val="99"/>
    <w:rsid w:val="00F9038A"/>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F9038A"/>
    <w:pPr>
      <w:ind w:left="1020"/>
    </w:pPr>
  </w:style>
  <w:style w:type="paragraph" w:customStyle="1" w:styleId="ZARTzmartartykuempunktem">
    <w:name w:val="Z/ART(§) – zm. art. (§) artykułem (punktem)"/>
    <w:basedOn w:val="ARTartustawynprozporzdzenia"/>
    <w:uiPriority w:val="30"/>
    <w:qFormat/>
    <w:rsid w:val="00F903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9038A"/>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9038A"/>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9038A"/>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9038A"/>
    <w:rPr>
      <w:bCs/>
    </w:rPr>
  </w:style>
  <w:style w:type="paragraph" w:customStyle="1" w:styleId="OZNRODZAKTUtznustawalubrozporzdzenieiorganwydajcy">
    <w:name w:val="OZN_RODZ_AKTU – tzn. ustawa lub rozporządzenie i organ wydający"/>
    <w:next w:val="DATAAKTUdatauchwalenialubwydaniaaktu"/>
    <w:uiPriority w:val="5"/>
    <w:qFormat/>
    <w:rsid w:val="00F9038A"/>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F9038A"/>
    <w:pPr>
      <w:spacing w:before="0"/>
    </w:pPr>
    <w:rPr>
      <w:bCs/>
    </w:rPr>
  </w:style>
  <w:style w:type="paragraph" w:customStyle="1" w:styleId="PKTpunkt">
    <w:name w:val="PKT – punkt"/>
    <w:uiPriority w:val="13"/>
    <w:qFormat/>
    <w:rsid w:val="00F9038A"/>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F9038A"/>
    <w:pPr>
      <w:ind w:left="0" w:firstLine="0"/>
    </w:pPr>
  </w:style>
  <w:style w:type="paragraph" w:customStyle="1" w:styleId="LITlitera">
    <w:name w:val="LIT – litera"/>
    <w:basedOn w:val="PKTpunkt"/>
    <w:uiPriority w:val="14"/>
    <w:qFormat/>
    <w:rsid w:val="00F9038A"/>
    <w:pPr>
      <w:ind w:left="986" w:hanging="476"/>
    </w:pPr>
  </w:style>
  <w:style w:type="paragraph" w:customStyle="1" w:styleId="CZWSPLITczwsplnaliter">
    <w:name w:val="CZ_WSP_LIT – część wspólna liter"/>
    <w:basedOn w:val="LITlitera"/>
    <w:next w:val="USTustnpkodeksu"/>
    <w:uiPriority w:val="17"/>
    <w:qFormat/>
    <w:rsid w:val="00F9038A"/>
    <w:pPr>
      <w:ind w:left="510" w:firstLine="0"/>
    </w:pPr>
    <w:rPr>
      <w:szCs w:val="24"/>
    </w:rPr>
  </w:style>
  <w:style w:type="paragraph" w:customStyle="1" w:styleId="TIRtiret">
    <w:name w:val="TIR – tiret"/>
    <w:basedOn w:val="LITlitera"/>
    <w:uiPriority w:val="15"/>
    <w:qFormat/>
    <w:rsid w:val="00F9038A"/>
    <w:pPr>
      <w:ind w:left="1384" w:hanging="397"/>
    </w:pPr>
  </w:style>
  <w:style w:type="paragraph" w:customStyle="1" w:styleId="CZWSPTIRczwsplnatiret">
    <w:name w:val="CZ_WSP_TIR – część wspólna tiret"/>
    <w:basedOn w:val="TIRtiret"/>
    <w:next w:val="USTustnpkodeksu"/>
    <w:uiPriority w:val="17"/>
    <w:qFormat/>
    <w:rsid w:val="00F9038A"/>
    <w:pPr>
      <w:ind w:left="987" w:firstLine="0"/>
    </w:pPr>
  </w:style>
  <w:style w:type="paragraph" w:customStyle="1" w:styleId="CYTcytatnpprzysigi">
    <w:name w:val="CYT – cytat np. przysięgi"/>
    <w:basedOn w:val="USTustnpkodeksu"/>
    <w:next w:val="USTustnpkodeksu"/>
    <w:uiPriority w:val="18"/>
    <w:qFormat/>
    <w:rsid w:val="00F903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9038A"/>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F9038A"/>
  </w:style>
  <w:style w:type="paragraph" w:customStyle="1" w:styleId="ZLITCZWSPTIRwLITzmczciwsptirwlitliter">
    <w:name w:val="Z_LIT/CZ_WSP_TIR_w_LIT – zm. części wsp. tir. w lit. literą"/>
    <w:basedOn w:val="CZWSPTIRczwsplnatiret"/>
    <w:next w:val="LITlitera"/>
    <w:uiPriority w:val="51"/>
    <w:qFormat/>
    <w:rsid w:val="00F9038A"/>
    <w:pPr>
      <w:ind w:left="1463"/>
    </w:pPr>
  </w:style>
  <w:style w:type="paragraph" w:customStyle="1" w:styleId="ZLITTIRwLITzmtirwlitliter">
    <w:name w:val="Z_LIT/TIR_w_LIT – zm. tir. w lit. literą"/>
    <w:basedOn w:val="TIRtiret"/>
    <w:uiPriority w:val="49"/>
    <w:qFormat/>
    <w:rsid w:val="00F9038A"/>
    <w:pPr>
      <w:ind w:left="1860"/>
    </w:pPr>
  </w:style>
  <w:style w:type="paragraph" w:customStyle="1" w:styleId="TYTDZOZNoznaczenietytuulubdziau">
    <w:name w:val="TYT(DZ)_OZN – oznaczenie tytułu lub działu"/>
    <w:next w:val="Normalny"/>
    <w:uiPriority w:val="9"/>
    <w:qFormat/>
    <w:rsid w:val="00F9038A"/>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9038A"/>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903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9038A"/>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903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9038A"/>
    <w:pPr>
      <w:ind w:left="510"/>
    </w:pPr>
  </w:style>
  <w:style w:type="paragraph" w:customStyle="1" w:styleId="ZZLITzmianazmlit">
    <w:name w:val="ZZ/LIT – zmiana zm. lit."/>
    <w:basedOn w:val="ZZPKTzmianazmpkt"/>
    <w:uiPriority w:val="67"/>
    <w:qFormat/>
    <w:rsid w:val="00F9038A"/>
    <w:pPr>
      <w:ind w:left="2370" w:hanging="476"/>
    </w:pPr>
  </w:style>
  <w:style w:type="paragraph" w:customStyle="1" w:styleId="ZZTIRzmianazmtir">
    <w:name w:val="ZZ/TIR – zmiana zm. tir."/>
    <w:basedOn w:val="ZZLITzmianazmlit"/>
    <w:uiPriority w:val="67"/>
    <w:qFormat/>
    <w:rsid w:val="00F903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9038A"/>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F9038A"/>
    <w:pPr>
      <w:ind w:left="987"/>
    </w:pPr>
  </w:style>
  <w:style w:type="paragraph" w:customStyle="1" w:styleId="ZLITPKTzmpktliter">
    <w:name w:val="Z_LIT/PKT – zm. pkt literą"/>
    <w:basedOn w:val="PKTpunkt"/>
    <w:uiPriority w:val="47"/>
    <w:qFormat/>
    <w:rsid w:val="00F9038A"/>
    <w:pPr>
      <w:ind w:left="1497"/>
    </w:pPr>
  </w:style>
  <w:style w:type="paragraph" w:customStyle="1" w:styleId="ZZCZWSPPKTzmianazmczciwsppkt">
    <w:name w:val="ZZ/CZ_WSP_PKT – zmiana. zm. części wsp. pkt"/>
    <w:basedOn w:val="ZZARTzmianazmart"/>
    <w:next w:val="ZPKTzmpktartykuempunktem"/>
    <w:uiPriority w:val="68"/>
    <w:qFormat/>
    <w:rsid w:val="00F9038A"/>
    <w:pPr>
      <w:ind w:firstLine="0"/>
    </w:pPr>
  </w:style>
  <w:style w:type="paragraph" w:customStyle="1" w:styleId="ZLITLITzmlitliter">
    <w:name w:val="Z_LIT/LIT – zm. lit. literą"/>
    <w:basedOn w:val="LITlitera"/>
    <w:uiPriority w:val="48"/>
    <w:qFormat/>
    <w:rsid w:val="00F9038A"/>
    <w:pPr>
      <w:ind w:left="1463"/>
    </w:pPr>
  </w:style>
  <w:style w:type="paragraph" w:customStyle="1" w:styleId="ZLITCZWSPPKTzmczciwsppktliter">
    <w:name w:val="Z_LIT/CZ_WSP_PKT – zm. części wsp. pkt literą"/>
    <w:basedOn w:val="CZWSPLITczwsplnaliter"/>
    <w:next w:val="LITlitera"/>
    <w:uiPriority w:val="50"/>
    <w:qFormat/>
    <w:rsid w:val="00F9038A"/>
    <w:pPr>
      <w:ind w:left="987"/>
    </w:pPr>
  </w:style>
  <w:style w:type="paragraph" w:customStyle="1" w:styleId="ZLITTIRzmtirliter">
    <w:name w:val="Z_LIT/TIR – zm. tir. literą"/>
    <w:basedOn w:val="TIRtiret"/>
    <w:uiPriority w:val="49"/>
    <w:qFormat/>
    <w:rsid w:val="00F9038A"/>
  </w:style>
  <w:style w:type="paragraph" w:customStyle="1" w:styleId="ZZCZWSPLITwPKTzmianazmczciwsplitwpkt">
    <w:name w:val="ZZ/CZ_WSP_LIT_w_PKT – zmiana zm. części wsp. lit. w pkt"/>
    <w:basedOn w:val="ZZLITwPKTzmianazmlitwpkt"/>
    <w:uiPriority w:val="69"/>
    <w:qFormat/>
    <w:rsid w:val="00F9038A"/>
    <w:pPr>
      <w:ind w:left="2404" w:firstLine="0"/>
    </w:pPr>
  </w:style>
  <w:style w:type="paragraph" w:customStyle="1" w:styleId="ZLITLITwPKTzmlitwpktliter">
    <w:name w:val="Z_LIT/LIT_w_PKT – zm. lit. w pkt literą"/>
    <w:basedOn w:val="LITlitera"/>
    <w:uiPriority w:val="48"/>
    <w:qFormat/>
    <w:rsid w:val="00F9038A"/>
    <w:pPr>
      <w:ind w:left="1973"/>
    </w:pPr>
  </w:style>
  <w:style w:type="paragraph" w:customStyle="1" w:styleId="ZLITCZWSPLITwPKTzmczciwsplitwpktliter">
    <w:name w:val="Z_LIT/CZ_WSP_LIT_w_PKT – zm. części wsp. lit. w pkt literą"/>
    <w:basedOn w:val="CZWSPLITczwsplnaliter"/>
    <w:next w:val="LITlitera"/>
    <w:uiPriority w:val="51"/>
    <w:qFormat/>
    <w:rsid w:val="00F9038A"/>
    <w:pPr>
      <w:ind w:left="1497"/>
    </w:pPr>
  </w:style>
  <w:style w:type="paragraph" w:customStyle="1" w:styleId="ZLITTIRwPKTzmtirwpktliter">
    <w:name w:val="Z_LIT/TIR_w_PKT – zm. tir. w pkt literą"/>
    <w:basedOn w:val="TIRtiret"/>
    <w:uiPriority w:val="49"/>
    <w:qFormat/>
    <w:rsid w:val="00F9038A"/>
    <w:pPr>
      <w:ind w:left="2370"/>
    </w:pPr>
  </w:style>
  <w:style w:type="paragraph" w:customStyle="1" w:styleId="ZLITCZWSPTIRwPKTzmczciwsptirwpktliter">
    <w:name w:val="Z_LIT/CZ_WSP_TIR_w_PKT – zm. części wsp. tir. w pkt literą"/>
    <w:basedOn w:val="CZWSPTIRczwsplnatiret"/>
    <w:next w:val="LITlitera"/>
    <w:uiPriority w:val="51"/>
    <w:qFormat/>
    <w:rsid w:val="00F9038A"/>
    <w:pPr>
      <w:ind w:left="1973"/>
    </w:pPr>
  </w:style>
  <w:style w:type="paragraph" w:styleId="Tekstprzypisudolnego">
    <w:name w:val="footnote text"/>
    <w:basedOn w:val="Normalny"/>
    <w:link w:val="TekstprzypisudolnegoZnak"/>
    <w:uiPriority w:val="99"/>
    <w:semiHidden/>
    <w:qFormat/>
    <w:rsid w:val="00F9038A"/>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przypisudolnegoZnak">
    <w:name w:val="Tekst przypisu dolnego Znak"/>
    <w:basedOn w:val="Domylnaczcionkaakapitu"/>
    <w:link w:val="Tekstprzypisudolnego"/>
    <w:uiPriority w:val="99"/>
    <w:semiHidden/>
    <w:rsid w:val="00F9038A"/>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F9038A"/>
    <w:pPr>
      <w:ind w:left="1859"/>
    </w:pPr>
  </w:style>
  <w:style w:type="paragraph" w:customStyle="1" w:styleId="ZTIRCZWSPPKTzmczciwsppkttiret">
    <w:name w:val="Z_TIR/CZ_WSP_PKT – zm. części wsp. pkt tiret"/>
    <w:basedOn w:val="CZWSPLITczwsplnaliter"/>
    <w:next w:val="TIRtiret"/>
    <w:uiPriority w:val="58"/>
    <w:qFormat/>
    <w:rsid w:val="00F9038A"/>
    <w:pPr>
      <w:ind w:left="1383"/>
    </w:pPr>
  </w:style>
  <w:style w:type="paragraph" w:customStyle="1" w:styleId="ZTIRTIRzmtirtiret">
    <w:name w:val="Z_TIR/TIR – zm. tir. tiret"/>
    <w:basedOn w:val="TIRtiret"/>
    <w:uiPriority w:val="57"/>
    <w:qFormat/>
    <w:rsid w:val="00F9038A"/>
    <w:pPr>
      <w:ind w:left="1780"/>
    </w:pPr>
  </w:style>
  <w:style w:type="paragraph" w:customStyle="1" w:styleId="ZZCZWSPTIRwPKTzmianazmczciwsptirwpkt">
    <w:name w:val="ZZ/CZ_WSP_TIR_w_PKT – zmiana zm. części wsp. tir. w pkt"/>
    <w:basedOn w:val="ZZTIRwPKTzmianazmtirwpkt"/>
    <w:uiPriority w:val="70"/>
    <w:qFormat/>
    <w:rsid w:val="00F9038A"/>
    <w:pPr>
      <w:ind w:left="2880" w:firstLine="0"/>
    </w:pPr>
  </w:style>
  <w:style w:type="paragraph" w:customStyle="1" w:styleId="ZZTIRwLITzmianazmtirwlit">
    <w:name w:val="ZZ/TIR_w_LIT – zmiana zm. tir. w lit."/>
    <w:basedOn w:val="ZZTIRzmianazmtir"/>
    <w:uiPriority w:val="67"/>
    <w:qFormat/>
    <w:rsid w:val="00F9038A"/>
    <w:pPr>
      <w:ind w:left="2767"/>
    </w:pPr>
  </w:style>
  <w:style w:type="paragraph" w:customStyle="1" w:styleId="ZTIRTIRwLITzmtirwlittiret">
    <w:name w:val="Z_TIR/TIR_w_LIT – zm. tir. w lit. tiret"/>
    <w:basedOn w:val="TIRtiret"/>
    <w:uiPriority w:val="57"/>
    <w:qFormat/>
    <w:rsid w:val="00F9038A"/>
    <w:pPr>
      <w:ind w:left="2257"/>
    </w:pPr>
  </w:style>
  <w:style w:type="paragraph" w:customStyle="1" w:styleId="ZTIRCZWSPTIRwLITzmczciwsptirwlittiret">
    <w:name w:val="Z_TIR/CZ_WSP_TIR_w_LIT – zm. części wsp. tir. w lit. tiret"/>
    <w:basedOn w:val="CZWSPTIRczwsplnatiret"/>
    <w:next w:val="TIRtiret"/>
    <w:uiPriority w:val="60"/>
    <w:qFormat/>
    <w:rsid w:val="00F9038A"/>
    <w:pPr>
      <w:ind w:left="1860"/>
    </w:pPr>
  </w:style>
  <w:style w:type="paragraph" w:customStyle="1" w:styleId="CZWSP2TIRczwsplnapodwjnychtiret">
    <w:name w:val="CZ_WSP_2TIR – część wspólna podwójnych tiret"/>
    <w:basedOn w:val="CZWSPTIRczwsplnatiret"/>
    <w:next w:val="TIRtiret"/>
    <w:uiPriority w:val="73"/>
    <w:qFormat/>
    <w:rsid w:val="00F9038A"/>
    <w:pPr>
      <w:ind w:left="1780"/>
    </w:pPr>
  </w:style>
  <w:style w:type="paragraph" w:customStyle="1" w:styleId="Z2TIRzmpodwtirartykuempunktem">
    <w:name w:val="Z/2TIR – zm. podw. tir. artykułem (punktem)"/>
    <w:basedOn w:val="TIRtiret"/>
    <w:uiPriority w:val="73"/>
    <w:qFormat/>
    <w:rsid w:val="00F9038A"/>
    <w:pPr>
      <w:ind w:left="907"/>
    </w:pPr>
  </w:style>
  <w:style w:type="paragraph" w:customStyle="1" w:styleId="ZZCZWSPTIRwLITzmianazmczciwsptirwlit">
    <w:name w:val="ZZ/CZ_WSP_TIR_w_LIT – zmiana zm. części wsp. tir. w lit."/>
    <w:basedOn w:val="ZZTIRwLITzmianazmtirwlit"/>
    <w:uiPriority w:val="70"/>
    <w:qFormat/>
    <w:rsid w:val="00F9038A"/>
    <w:pPr>
      <w:ind w:left="2370" w:firstLine="0"/>
    </w:pPr>
  </w:style>
  <w:style w:type="paragraph" w:customStyle="1" w:styleId="ZLIT2TIRzmpodwtirliter">
    <w:name w:val="Z_LIT/2TIR – zm. podw. tir. literą"/>
    <w:basedOn w:val="TIRtiret"/>
    <w:uiPriority w:val="75"/>
    <w:qFormat/>
    <w:rsid w:val="00F9038A"/>
  </w:style>
  <w:style w:type="paragraph" w:customStyle="1" w:styleId="ZTIR2TIRzmpodwtirtiret">
    <w:name w:val="Z_TIR/2TIR – zm. podw. tir. tiret"/>
    <w:basedOn w:val="TIRtiret"/>
    <w:uiPriority w:val="78"/>
    <w:qFormat/>
    <w:rsid w:val="00F903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9038A"/>
    <w:pPr>
      <w:ind w:left="1780"/>
    </w:pPr>
  </w:style>
  <w:style w:type="paragraph" w:customStyle="1" w:styleId="Z2TIRwPKTzmpodwtirwpktartykuempunktem">
    <w:name w:val="Z/2TIR_w_PKT – zm. podw. tir. w pkt artykułem (punktem)"/>
    <w:basedOn w:val="TIRtiret"/>
    <w:next w:val="ZPKTzmpktartykuempunktem"/>
    <w:uiPriority w:val="74"/>
    <w:qFormat/>
    <w:rsid w:val="00F9038A"/>
    <w:pPr>
      <w:ind w:left="2291"/>
    </w:pPr>
  </w:style>
  <w:style w:type="paragraph" w:customStyle="1" w:styleId="ZTIRPKTzmpkttiret">
    <w:name w:val="Z_TIR/PKT – zm. pkt tiret"/>
    <w:basedOn w:val="PKTpunkt"/>
    <w:uiPriority w:val="56"/>
    <w:qFormat/>
    <w:rsid w:val="00F9038A"/>
    <w:pPr>
      <w:ind w:left="1893"/>
    </w:pPr>
  </w:style>
  <w:style w:type="paragraph" w:customStyle="1" w:styleId="ZTIRLITwPKTzmlitwpkttiret">
    <w:name w:val="Z_TIR/LIT_w_PKT – zm. lit. w pkt tiret"/>
    <w:basedOn w:val="LITlitera"/>
    <w:uiPriority w:val="57"/>
    <w:qFormat/>
    <w:rsid w:val="00F9038A"/>
    <w:pPr>
      <w:ind w:left="2336"/>
    </w:pPr>
  </w:style>
  <w:style w:type="paragraph" w:customStyle="1" w:styleId="ZTIRCZWSPLITwPKTzmczciwsplitwpkttiret">
    <w:name w:val="Z_TIR/CZ_WSP_LIT_w_PKT – zm. części wsp. lit. w pkt tiret"/>
    <w:basedOn w:val="CZWSPLITczwsplnaliter"/>
    <w:uiPriority w:val="59"/>
    <w:qFormat/>
    <w:rsid w:val="00F9038A"/>
    <w:pPr>
      <w:ind w:left="1860"/>
    </w:pPr>
  </w:style>
  <w:style w:type="paragraph" w:customStyle="1" w:styleId="ZTIR2TIRwLITzmpodwtirwlittiret">
    <w:name w:val="Z_TIR/2TIR_w_LIT – zm. podw. tir. w lit. tiret"/>
    <w:basedOn w:val="TIRtiret"/>
    <w:uiPriority w:val="79"/>
    <w:qFormat/>
    <w:rsid w:val="00F903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9038A"/>
    <w:pPr>
      <w:ind w:left="2257"/>
    </w:pPr>
  </w:style>
  <w:style w:type="paragraph" w:customStyle="1" w:styleId="ZTIR2TIRwTIRzmpodwtirwtirtiret">
    <w:name w:val="Z_TIR/2TIR_w_TIR – zm. podw. tir. w tir. tiret"/>
    <w:basedOn w:val="TIRtiret"/>
    <w:uiPriority w:val="78"/>
    <w:qFormat/>
    <w:rsid w:val="00F9038A"/>
    <w:pPr>
      <w:ind w:left="2177"/>
    </w:pPr>
  </w:style>
  <w:style w:type="paragraph" w:customStyle="1" w:styleId="ZTIRCZWSP2TIRwTIRzmczciwsppodwtirwtirtiret">
    <w:name w:val="Z_TIR/CZ_WSP_2TIR_w_TIR – zm. części wsp. podw. tir. w tir. tiret"/>
    <w:basedOn w:val="CZWSPTIRczwsplnatiret"/>
    <w:uiPriority w:val="79"/>
    <w:qFormat/>
    <w:rsid w:val="00F9038A"/>
    <w:pPr>
      <w:ind w:left="1780"/>
    </w:pPr>
  </w:style>
  <w:style w:type="paragraph" w:customStyle="1" w:styleId="Z2TIRLITzmlitpodwjnymtiret">
    <w:name w:val="Z_2TIR/LIT – zm. lit. podwójnym tiret"/>
    <w:basedOn w:val="LITlitera"/>
    <w:uiPriority w:val="84"/>
    <w:qFormat/>
    <w:rsid w:val="00F9038A"/>
    <w:pPr>
      <w:ind w:left="2256"/>
    </w:pPr>
  </w:style>
  <w:style w:type="paragraph" w:customStyle="1" w:styleId="ZZ2TIRwTIRzmianazmpodwtirwtir">
    <w:name w:val="ZZ/2TIR_w_TIR – zmiana zm. podw. tir. w tir."/>
    <w:basedOn w:val="ZZCZWSP2TIRzmianazmczciwsppodwtir"/>
    <w:uiPriority w:val="93"/>
    <w:qFormat/>
    <w:rsid w:val="00F9038A"/>
    <w:pPr>
      <w:ind w:left="2688" w:hanging="397"/>
    </w:pPr>
  </w:style>
  <w:style w:type="paragraph" w:customStyle="1" w:styleId="ZZ2TIRwLITzmianazmpodwtirwlit">
    <w:name w:val="ZZ/2TIR_w_LIT – zmiana zm. podw. tir. w lit."/>
    <w:basedOn w:val="ZZ2TIRwTIRzmianazmpodwtirwtir"/>
    <w:uiPriority w:val="94"/>
    <w:qFormat/>
    <w:rsid w:val="00F9038A"/>
    <w:pPr>
      <w:ind w:left="3164"/>
    </w:pPr>
  </w:style>
  <w:style w:type="paragraph" w:customStyle="1" w:styleId="Z2TIRTIRwLITzmtirwlitpodwjnymtiret">
    <w:name w:val="Z_2TIR/TIR_w_LIT – zm. tir. w lit. podwójnym tiret"/>
    <w:basedOn w:val="TIRtiret"/>
    <w:uiPriority w:val="84"/>
    <w:qFormat/>
    <w:rsid w:val="00F903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9038A"/>
    <w:pPr>
      <w:ind w:left="2257"/>
    </w:pPr>
  </w:style>
  <w:style w:type="paragraph" w:customStyle="1" w:styleId="ZZ2TIRwPKTzmianazmpodwtirwpkt">
    <w:name w:val="ZZ/2TIR_w_PKT – zmiana zm. podw. tir. w pkt"/>
    <w:basedOn w:val="ZZ2TIRwLITzmianazmpodwtirwlit"/>
    <w:uiPriority w:val="94"/>
    <w:qFormat/>
    <w:rsid w:val="00F9038A"/>
    <w:pPr>
      <w:ind w:left="3674"/>
    </w:pPr>
  </w:style>
  <w:style w:type="paragraph" w:customStyle="1" w:styleId="ZZCZWSP2TIRwTIRzmianazmczciwsppodwtirwtir">
    <w:name w:val="ZZ/CZ_WSP_2TIR_w_TIR – zmiana zm. części wsp. podw. tir. w tir."/>
    <w:basedOn w:val="ZZ2TIRwLITzmianazmpodwtirwlit"/>
    <w:uiPriority w:val="94"/>
    <w:qFormat/>
    <w:rsid w:val="00F9038A"/>
    <w:pPr>
      <w:ind w:left="2291" w:firstLine="0"/>
    </w:pPr>
  </w:style>
  <w:style w:type="paragraph" w:customStyle="1" w:styleId="Z2TIR2TIRwTIRzmpodwtirwtirpodwjnymtiret">
    <w:name w:val="Z_2TIR/2TIR_w_TIR – zm. podw. tir. w tir. podwójnym tiret"/>
    <w:basedOn w:val="TIRtiret"/>
    <w:uiPriority w:val="85"/>
    <w:qFormat/>
    <w:rsid w:val="00F903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9038A"/>
    <w:pPr>
      <w:ind w:left="2177"/>
    </w:pPr>
  </w:style>
  <w:style w:type="paragraph" w:customStyle="1" w:styleId="Z2TIR2TIRwLITzmpodwtirwlitpodwjnymtiret">
    <w:name w:val="Z_2TIR/2TIR_w_LIT – zm. podw. tir. w lit. podwójnym tiret"/>
    <w:basedOn w:val="TIRtiret"/>
    <w:uiPriority w:val="86"/>
    <w:qFormat/>
    <w:rsid w:val="00F903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903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903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9038A"/>
    <w:pPr>
      <w:spacing w:after="120"/>
      <w:ind w:left="510"/>
    </w:pPr>
    <w:rPr>
      <w:b w:val="0"/>
    </w:rPr>
  </w:style>
  <w:style w:type="character" w:styleId="Odwoaniedokomentarza">
    <w:name w:val="annotation reference"/>
    <w:basedOn w:val="Domylnaczcionkaakapitu"/>
    <w:uiPriority w:val="99"/>
    <w:semiHidden/>
    <w:rsid w:val="00F9038A"/>
    <w:rPr>
      <w:sz w:val="16"/>
      <w:szCs w:val="16"/>
    </w:rPr>
  </w:style>
  <w:style w:type="paragraph" w:styleId="Tekstkomentarza">
    <w:name w:val="annotation text"/>
    <w:basedOn w:val="Normalny"/>
    <w:link w:val="TekstkomentarzaZnak"/>
    <w:uiPriority w:val="99"/>
    <w:rsid w:val="00F9038A"/>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rsid w:val="00F9038A"/>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F9038A"/>
    <w:rPr>
      <w:b/>
      <w:bCs/>
    </w:rPr>
  </w:style>
  <w:style w:type="character" w:customStyle="1" w:styleId="TematkomentarzaZnak">
    <w:name w:val="Temat komentarza Znak"/>
    <w:basedOn w:val="TekstkomentarzaZnak"/>
    <w:link w:val="Tematkomentarza"/>
    <w:uiPriority w:val="99"/>
    <w:semiHidden/>
    <w:rsid w:val="00F9038A"/>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F9038A"/>
    <w:pPr>
      <w:ind w:left="1894"/>
    </w:pPr>
  </w:style>
  <w:style w:type="paragraph" w:customStyle="1" w:styleId="ZZPKTzmianazmpkt">
    <w:name w:val="ZZ/PKT – zmiana zm. pkt"/>
    <w:basedOn w:val="ZPKTzmpktartykuempunktem"/>
    <w:uiPriority w:val="66"/>
    <w:qFormat/>
    <w:rsid w:val="00F9038A"/>
    <w:pPr>
      <w:ind w:left="2404"/>
    </w:pPr>
  </w:style>
  <w:style w:type="paragraph" w:customStyle="1" w:styleId="ZZLITwPKTzmianazmlitwpkt">
    <w:name w:val="ZZ/LIT_w_PKT – zmiana zm. lit. w pkt"/>
    <w:basedOn w:val="ZLITwPKTzmlitwpktartykuempunktem"/>
    <w:uiPriority w:val="67"/>
    <w:qFormat/>
    <w:rsid w:val="00F9038A"/>
    <w:pPr>
      <w:ind w:left="2880"/>
    </w:pPr>
  </w:style>
  <w:style w:type="paragraph" w:customStyle="1" w:styleId="ZZTIRwPKTzmianazmtirwpkt">
    <w:name w:val="ZZ/TIR_w_PKT – zmiana zm. tir. w pkt"/>
    <w:basedOn w:val="ZTIRwPKTzmtirwpktartykuempunktem"/>
    <w:uiPriority w:val="67"/>
    <w:qFormat/>
    <w:rsid w:val="00F9038A"/>
    <w:pPr>
      <w:ind w:left="3277"/>
    </w:pPr>
  </w:style>
  <w:style w:type="paragraph" w:customStyle="1" w:styleId="ZZWMATFIZCHEMzmwzorumatfizlubchem">
    <w:name w:val="ZZ/W_MAT(FIZ|CHEM) – zm. wzoru mat. (fiz. lub chem.)"/>
    <w:basedOn w:val="ZWMATFIZCHEMzmwzorumatfizlubchemartykuempunktem"/>
    <w:uiPriority w:val="71"/>
    <w:qFormat/>
    <w:rsid w:val="00F9038A"/>
    <w:pPr>
      <w:ind w:left="2404"/>
    </w:pPr>
  </w:style>
  <w:style w:type="paragraph" w:customStyle="1" w:styleId="ODNONIKtreodnonika">
    <w:name w:val="ODNOŚNIK – treść odnośnika"/>
    <w:uiPriority w:val="19"/>
    <w:qFormat/>
    <w:rsid w:val="00F9038A"/>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903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903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9038A"/>
    <w:rPr>
      <w:rFonts w:ascii="Times New Roman" w:hAnsi="Times New Roman"/>
    </w:rPr>
  </w:style>
  <w:style w:type="paragraph" w:customStyle="1" w:styleId="ZTIRTIRwPKTzmtirwpkttiret">
    <w:name w:val="Z_TIR/TIR_w_PKT – zm. tir. w pkt tiret"/>
    <w:basedOn w:val="ZTIRTIRwLITzmtirwlittiret"/>
    <w:uiPriority w:val="57"/>
    <w:qFormat/>
    <w:rsid w:val="00F9038A"/>
    <w:pPr>
      <w:ind w:left="2733"/>
    </w:pPr>
  </w:style>
  <w:style w:type="paragraph" w:customStyle="1" w:styleId="ZTIRCZWSPTIRwPKTzmczciwsptirtiret">
    <w:name w:val="Z_TIR/CZ_WSP_TIR_w_PKT – zm. części wsp. tir. tiret"/>
    <w:basedOn w:val="ZTIRTIRwPKTzmtirwpkttiret"/>
    <w:next w:val="TIRtiret"/>
    <w:uiPriority w:val="60"/>
    <w:qFormat/>
    <w:rsid w:val="00F903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9038A"/>
    <w:pPr>
      <w:ind w:left="510" w:firstLine="0"/>
    </w:pPr>
  </w:style>
  <w:style w:type="paragraph" w:customStyle="1" w:styleId="ROZDZODDZOZNoznaczenierozdziauluboddziau">
    <w:name w:val="ROZDZ(ODDZ)_OZN – oznaczenie rozdziału lub oddziału"/>
    <w:next w:val="ARTartustawynprozporzdzenia"/>
    <w:uiPriority w:val="10"/>
    <w:qFormat/>
    <w:rsid w:val="00F9038A"/>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9038A"/>
    <w:pPr>
      <w:ind w:left="2177"/>
    </w:pPr>
  </w:style>
  <w:style w:type="paragraph" w:customStyle="1" w:styleId="Z2TIRTIRzmtirpodwjnymtiret">
    <w:name w:val="Z_2TIR/TIR – zm. tir. podwójnym tiret"/>
    <w:basedOn w:val="TIRtiret"/>
    <w:uiPriority w:val="84"/>
    <w:qFormat/>
    <w:rsid w:val="00F903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9038A"/>
    <w:pPr>
      <w:ind w:left="1021"/>
    </w:pPr>
  </w:style>
  <w:style w:type="paragraph" w:customStyle="1" w:styleId="ZLITSKARNzmsankcjikarnejliter">
    <w:name w:val="Z_LIT/S_KARN – zm. sankcji karnej literą"/>
    <w:basedOn w:val="ZSKARNzmsankcjikarnejwszczeglnociwKodeksiekarnym"/>
    <w:uiPriority w:val="53"/>
    <w:qFormat/>
    <w:rsid w:val="00F903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903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903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F9038A"/>
    <w:pPr>
      <w:ind w:left="1780"/>
    </w:pPr>
  </w:style>
  <w:style w:type="paragraph" w:customStyle="1" w:styleId="Z2TIRwTIRzmpodwtirwtirartykuempunktem">
    <w:name w:val="Z/2TIR_w_TIR – zm. podw. tir. w tir. artykułem (punktem)"/>
    <w:basedOn w:val="Z2TIRwLITzmpodwtirwlitartykuempunktem"/>
    <w:uiPriority w:val="73"/>
    <w:qFormat/>
    <w:rsid w:val="00F903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903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9038A"/>
    <w:pPr>
      <w:ind w:left="1383" w:firstLine="0"/>
    </w:pPr>
  </w:style>
  <w:style w:type="paragraph" w:customStyle="1" w:styleId="ZZCZWSP2TIRzmianazmczciwsppodwtir">
    <w:name w:val="ZZ/CZ_WSP_2TIR – zmiana zm. części wsp. podw. tir."/>
    <w:basedOn w:val="ZZTIRzmianazmtir"/>
    <w:next w:val="ZZUSTzmianazmust"/>
    <w:uiPriority w:val="94"/>
    <w:qFormat/>
    <w:rsid w:val="00F9038A"/>
    <w:pPr>
      <w:ind w:left="1894" w:firstLine="0"/>
    </w:pPr>
  </w:style>
  <w:style w:type="paragraph" w:customStyle="1" w:styleId="PKTODNONIKApunktodnonika">
    <w:name w:val="PKT_ODNOŚNIKA – punkt odnośnika"/>
    <w:basedOn w:val="ODNONIKtreodnonika"/>
    <w:uiPriority w:val="19"/>
    <w:qFormat/>
    <w:rsid w:val="00F9038A"/>
    <w:pPr>
      <w:ind w:left="568"/>
    </w:pPr>
  </w:style>
  <w:style w:type="paragraph" w:customStyle="1" w:styleId="ZODNONIKAzmtekstuodnonikaartykuempunktem">
    <w:name w:val="Z/ODNOŚNIKA – zm. tekstu odnośnika artykułem (punktem)"/>
    <w:basedOn w:val="ODNONIKtreodnonika"/>
    <w:uiPriority w:val="39"/>
    <w:qFormat/>
    <w:rsid w:val="00F903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9038A"/>
    <w:pPr>
      <w:ind w:left="1304"/>
    </w:pPr>
  </w:style>
  <w:style w:type="paragraph" w:customStyle="1" w:styleId="ZPKTODNONIKAzmpktodnonikaartykuempunktem">
    <w:name w:val="Z/PKT_ODNOŚNIKA – zm. pkt odnośnika artykułem (punktem)"/>
    <w:basedOn w:val="ZODNONIKAzmtekstuodnonikaartykuempunktem"/>
    <w:uiPriority w:val="39"/>
    <w:qFormat/>
    <w:rsid w:val="00F9038A"/>
  </w:style>
  <w:style w:type="paragraph" w:customStyle="1" w:styleId="ZLIT2TIRwTIRzmpodwtirwtirliter">
    <w:name w:val="Z_LIT/2TIR_w_TIR – zm. podw. tir. w tir. literą"/>
    <w:basedOn w:val="ZLIT2TIRzmpodwtirliter"/>
    <w:uiPriority w:val="75"/>
    <w:qFormat/>
    <w:rsid w:val="00F9038A"/>
    <w:pPr>
      <w:ind w:left="1780"/>
    </w:pPr>
  </w:style>
  <w:style w:type="paragraph" w:customStyle="1" w:styleId="ZLIT2TIRwLITzmpodwtirwlitliter">
    <w:name w:val="Z_LIT/2TIR_w_LIT – zm. podw. tir. w lit. literą"/>
    <w:basedOn w:val="ZLIT2TIRwTIRzmpodwtirwtirliter"/>
    <w:uiPriority w:val="76"/>
    <w:qFormat/>
    <w:rsid w:val="00F9038A"/>
    <w:pPr>
      <w:ind w:left="2257"/>
    </w:pPr>
  </w:style>
  <w:style w:type="paragraph" w:customStyle="1" w:styleId="ZLIT2TIRwPKTzmpodwtirwpktliter">
    <w:name w:val="Z_LIT/2TIR_w_PKT – zm. podw. tir. w pkt literą"/>
    <w:basedOn w:val="ZLIT2TIRwLITzmpodwtirwlitliter"/>
    <w:uiPriority w:val="76"/>
    <w:qFormat/>
    <w:rsid w:val="00F903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903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903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9038A"/>
    <w:pPr>
      <w:ind w:left="2370" w:firstLine="0"/>
    </w:pPr>
  </w:style>
  <w:style w:type="paragraph" w:customStyle="1" w:styleId="ZTIR2TIRwPKTzmpodwtirwpkttiret">
    <w:name w:val="Z_TIR/2TIR_w_PKT – zm. podw. tir. w pkt tiret"/>
    <w:basedOn w:val="ZTIR2TIRwLITzmpodwtirwlittiret"/>
    <w:uiPriority w:val="79"/>
    <w:qFormat/>
    <w:rsid w:val="00F903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903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9038A"/>
    <w:pPr>
      <w:ind w:left="2767"/>
    </w:pPr>
  </w:style>
  <w:style w:type="paragraph" w:customStyle="1" w:styleId="ZZCZWSP2TIRwPKTzmianazmczciwsppodwtirwpkt">
    <w:name w:val="ZZ/CZ_WSP_2TIR_w_PKT – zmiana zm. części wsp. podw. tir. w pkt"/>
    <w:basedOn w:val="ZZ2TIRwLITzmianazmpodwtirwlit"/>
    <w:uiPriority w:val="95"/>
    <w:qFormat/>
    <w:rsid w:val="00F903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9038A"/>
  </w:style>
  <w:style w:type="paragraph" w:customStyle="1" w:styleId="ZLITCZWSP2TIRzmczciwsppodwtirliter">
    <w:name w:val="Z_LIT/CZ_WSP_2TIR – zm. części wsp. podw. tir. literą"/>
    <w:basedOn w:val="ZLITCZWSPPKTzmczciwsppktliter"/>
    <w:next w:val="LITlitera"/>
    <w:uiPriority w:val="76"/>
    <w:qFormat/>
    <w:rsid w:val="00F9038A"/>
  </w:style>
  <w:style w:type="paragraph" w:customStyle="1" w:styleId="ZTIRCZWSP2TIRzmczciwsppodwtirtiret">
    <w:name w:val="Z_TIR/CZ_WSP_2TIR – zm. części wsp. podw. tir. tiret"/>
    <w:basedOn w:val="ZLITCZWSP2TIRzmczciwsppodwtirliter"/>
    <w:next w:val="TIRtiret"/>
    <w:uiPriority w:val="79"/>
    <w:qFormat/>
    <w:rsid w:val="00F9038A"/>
  </w:style>
  <w:style w:type="paragraph" w:customStyle="1" w:styleId="ZZ2TIRzmianazmpodwtir">
    <w:name w:val="ZZ/2TIR – zmiana zm. podw. tir."/>
    <w:basedOn w:val="ZZCZWSP2TIRzmianazmczciwsppodwtir"/>
    <w:uiPriority w:val="93"/>
    <w:qFormat/>
    <w:rsid w:val="00F903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9038A"/>
  </w:style>
  <w:style w:type="paragraph" w:customStyle="1" w:styleId="ZCZWSPTIRzmczciwsptirartykuempunktem">
    <w:name w:val="Z/CZ_WSP_TIR – zm. części wsp. tir. artykułem (punktem)"/>
    <w:basedOn w:val="ZCZWSPPKTzmczciwsppktartykuempunktem"/>
    <w:next w:val="PKTpunkt"/>
    <w:uiPriority w:val="35"/>
    <w:qFormat/>
    <w:rsid w:val="00F9038A"/>
  </w:style>
  <w:style w:type="paragraph" w:customStyle="1" w:styleId="ZLITCZWSPLITzmczciwsplitliter">
    <w:name w:val="Z_LIT/CZ_WSP_LIT – zm. części wsp. lit. literą"/>
    <w:basedOn w:val="ZLITCZWSPPKTzmczciwsppktliter"/>
    <w:next w:val="LITlitera"/>
    <w:uiPriority w:val="51"/>
    <w:qFormat/>
    <w:rsid w:val="00F9038A"/>
  </w:style>
  <w:style w:type="paragraph" w:customStyle="1" w:styleId="ZLITCZWSPTIRzmczciwsptirliter">
    <w:name w:val="Z_LIT/CZ_WSP_TIR – zm. części wsp. tir. literą"/>
    <w:basedOn w:val="ZLITCZWSPPKTzmczciwsppktliter"/>
    <w:next w:val="LITlitera"/>
    <w:uiPriority w:val="51"/>
    <w:qFormat/>
    <w:rsid w:val="00F9038A"/>
  </w:style>
  <w:style w:type="paragraph" w:customStyle="1" w:styleId="ZTIRCZWSPLITzmczciwsplittiret">
    <w:name w:val="Z_TIR/CZ_WSP_LIT – zm. części wsp. lit. tiret"/>
    <w:basedOn w:val="ZTIRCZWSPPKTzmczciwsppkttiret"/>
    <w:next w:val="TIRtiret"/>
    <w:uiPriority w:val="59"/>
    <w:qFormat/>
    <w:rsid w:val="00F9038A"/>
  </w:style>
  <w:style w:type="paragraph" w:customStyle="1" w:styleId="ZTIRCZWSPTIRzmczciwsptirtiret">
    <w:name w:val="Z_TIR/CZ_WSP_TIR – zm. części wsp. tir. tiret"/>
    <w:basedOn w:val="ZTIRCZWSPPKTzmczciwsppkttiret"/>
    <w:next w:val="TIRtiret"/>
    <w:uiPriority w:val="60"/>
    <w:qFormat/>
    <w:rsid w:val="00F9038A"/>
  </w:style>
  <w:style w:type="paragraph" w:customStyle="1" w:styleId="ZZCZWSPLITzmianazmczciwsplit">
    <w:name w:val="ZZ/CZ_WSP_LIT – zmiana. zm. części wsp. lit."/>
    <w:basedOn w:val="ZZCZWSPPKTzmianazmczciwsppkt"/>
    <w:uiPriority w:val="69"/>
    <w:qFormat/>
    <w:rsid w:val="00F9038A"/>
  </w:style>
  <w:style w:type="paragraph" w:customStyle="1" w:styleId="ZZCZWSPTIRzmianazmczciwsptir">
    <w:name w:val="ZZ/CZ_WSP_TIR – zmiana. zm. części wsp. tir."/>
    <w:basedOn w:val="ZZCZWSPPKTzmianazmczciwsppkt"/>
    <w:uiPriority w:val="69"/>
    <w:qFormat/>
    <w:rsid w:val="00F9038A"/>
  </w:style>
  <w:style w:type="paragraph" w:customStyle="1" w:styleId="Z2TIRCZWSPTIRzmczciwsptirpodwjnymtiret">
    <w:name w:val="Z_2TIR/CZ_WSP_TIR – zm. części wsp. tir. podwójnym tiret"/>
    <w:basedOn w:val="Z2TIRCZWSPLITzmczciwsplitpodwjnymtiret"/>
    <w:next w:val="2TIRpodwjnytiret"/>
    <w:uiPriority w:val="87"/>
    <w:qFormat/>
    <w:rsid w:val="00F903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9038A"/>
  </w:style>
  <w:style w:type="paragraph" w:customStyle="1" w:styleId="ZUSTzmustartykuempunktem">
    <w:name w:val="Z/UST(§) – zm. ust. (§) artykułem (punktem)"/>
    <w:basedOn w:val="ZARTzmartartykuempunktem"/>
    <w:uiPriority w:val="30"/>
    <w:qFormat/>
    <w:rsid w:val="00F9038A"/>
  </w:style>
  <w:style w:type="paragraph" w:customStyle="1" w:styleId="ZZUSTzmianazmust">
    <w:name w:val="ZZ/UST(§) – zmiana zm. ust. (§)"/>
    <w:basedOn w:val="ZZARTzmianazmart"/>
    <w:uiPriority w:val="65"/>
    <w:qFormat/>
    <w:rsid w:val="00F9038A"/>
  </w:style>
  <w:style w:type="paragraph" w:customStyle="1" w:styleId="TYTDZPRZEDMprzedmiotregulacjitytuulubdziau">
    <w:name w:val="TYT(DZ)_PRZEDM – przedmiot regulacji tytułu lub działu"/>
    <w:next w:val="ARTartustawynprozporzdzenia"/>
    <w:uiPriority w:val="9"/>
    <w:qFormat/>
    <w:rsid w:val="00F9038A"/>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903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903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903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903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903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9038A"/>
    <w:pPr>
      <w:ind w:left="1894"/>
    </w:pPr>
  </w:style>
  <w:style w:type="paragraph" w:customStyle="1" w:styleId="P1wTABELIpoziom1numeracjiwtabeli">
    <w:name w:val="P1_w_TABELI – poziom 1 numeracji w tabeli"/>
    <w:basedOn w:val="PKTpunkt"/>
    <w:uiPriority w:val="24"/>
    <w:qFormat/>
    <w:rsid w:val="00F903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9038A"/>
    <w:pPr>
      <w:ind w:left="0" w:firstLine="0"/>
    </w:pPr>
  </w:style>
  <w:style w:type="paragraph" w:customStyle="1" w:styleId="P2wTABELIpoziom2numeracjiwtabeli">
    <w:name w:val="P2_w_TABELI – poziom 2 numeracji w tabeli"/>
    <w:basedOn w:val="P1wTABELIpoziom1numeracjiwtabeli"/>
    <w:uiPriority w:val="24"/>
    <w:qFormat/>
    <w:rsid w:val="00F9038A"/>
    <w:pPr>
      <w:ind w:left="794"/>
    </w:pPr>
  </w:style>
  <w:style w:type="paragraph" w:customStyle="1" w:styleId="P3wTABELIpoziom3numeracjiwtabeli">
    <w:name w:val="P3_w_TABELI – poziom 3 numeracji w tabeli"/>
    <w:basedOn w:val="P2wTABELIpoziom2numeracjiwtabeli"/>
    <w:uiPriority w:val="24"/>
    <w:qFormat/>
    <w:rsid w:val="00F903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903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903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9038A"/>
    <w:pPr>
      <w:ind w:left="1191"/>
    </w:pPr>
  </w:style>
  <w:style w:type="paragraph" w:customStyle="1" w:styleId="P4wTABELIpoziom4numeracjiwtabeli">
    <w:name w:val="P4_w_TABELI – poziom 4 numeracji w tabeli"/>
    <w:basedOn w:val="P3wTABELIpoziom3numeracjiwtabeli"/>
    <w:uiPriority w:val="24"/>
    <w:qFormat/>
    <w:rsid w:val="00F9038A"/>
    <w:pPr>
      <w:ind w:left="1588"/>
    </w:pPr>
  </w:style>
  <w:style w:type="paragraph" w:customStyle="1" w:styleId="TYTTABELItytutabeli">
    <w:name w:val="TYT_TABELI – tytuł tabeli"/>
    <w:basedOn w:val="TYTDZOZNoznaczenietytuulubdziau"/>
    <w:uiPriority w:val="22"/>
    <w:qFormat/>
    <w:rsid w:val="00F9038A"/>
    <w:rPr>
      <w:b/>
    </w:rPr>
  </w:style>
  <w:style w:type="paragraph" w:customStyle="1" w:styleId="OZNPROJEKTUwskazaniedatylubwersjiprojektu">
    <w:name w:val="OZN_PROJEKTU – wskazanie daty lub wersji projektu"/>
    <w:next w:val="OZNRODZAKTUtznustawalubrozporzdzenieiorganwydajcy"/>
    <w:uiPriority w:val="5"/>
    <w:qFormat/>
    <w:rsid w:val="00F9038A"/>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903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9038A"/>
    <w:pPr>
      <w:ind w:left="0" w:right="4820"/>
      <w:jc w:val="left"/>
    </w:pPr>
  </w:style>
  <w:style w:type="paragraph" w:customStyle="1" w:styleId="TEKSTwporozumieniu">
    <w:name w:val="TEKST&quot;w porozumieniu:&quot;"/>
    <w:next w:val="NAZORGWPOROZUMIENIUnazwaorganuwporozumieniuzktrymaktjestwydawany"/>
    <w:uiPriority w:val="27"/>
    <w:qFormat/>
    <w:rsid w:val="00F9038A"/>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903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9038A"/>
    <w:pPr>
      <w:ind w:left="510" w:firstLine="0"/>
    </w:pPr>
  </w:style>
  <w:style w:type="paragraph" w:customStyle="1" w:styleId="NOTATKILEGISLATORA">
    <w:name w:val="NOTATKI_LEGISLATORA"/>
    <w:basedOn w:val="Normalny"/>
    <w:uiPriority w:val="5"/>
    <w:qFormat/>
    <w:rsid w:val="00F903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F9038A"/>
    <w:pPr>
      <w:keepNext/>
    </w:pPr>
    <w:rPr>
      <w:b/>
      <w:u w:val="none"/>
    </w:rPr>
  </w:style>
  <w:style w:type="paragraph" w:customStyle="1" w:styleId="OZNPARAFYADNOTACJE">
    <w:name w:val="OZN_PARAFY(ADNOTACJE)"/>
    <w:basedOn w:val="ODNONIKtreodnonika"/>
    <w:uiPriority w:val="26"/>
    <w:qFormat/>
    <w:rsid w:val="00F9038A"/>
  </w:style>
  <w:style w:type="paragraph" w:customStyle="1" w:styleId="TEKSTZacznikido">
    <w:name w:val="TEKST&quot;Załącznik(i) do ...&quot;"/>
    <w:uiPriority w:val="28"/>
    <w:qFormat/>
    <w:rsid w:val="00F9038A"/>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9038A"/>
    <w:pPr>
      <w:ind w:left="851"/>
    </w:pPr>
  </w:style>
  <w:style w:type="paragraph" w:customStyle="1" w:styleId="CZWSPLITODNONIKAczwspliterodnonika">
    <w:name w:val="CZ_WSP_LIT_ODNOŚNIKA – część wsp. liter odnośnika"/>
    <w:basedOn w:val="LITODNONIKAliteraodnonika"/>
    <w:uiPriority w:val="22"/>
    <w:qFormat/>
    <w:rsid w:val="00F903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903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903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903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9038A"/>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903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903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9038A"/>
  </w:style>
  <w:style w:type="paragraph" w:customStyle="1" w:styleId="ZLITwPKTODNONIKAzmlitwpktodnonikaartykuempunktem">
    <w:name w:val="Z/LIT_w_PKT_ODNOŚNIKA – zm. lit. w pkt odnośnika artykułem (punktem)"/>
    <w:basedOn w:val="ZLITODNONIKAzmlitodnonikaartykuempunktem"/>
    <w:uiPriority w:val="40"/>
    <w:qFormat/>
    <w:rsid w:val="00F903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903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903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903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903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903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9038A"/>
  </w:style>
  <w:style w:type="paragraph" w:customStyle="1" w:styleId="ZZFRAGzmianazmfragmentunpzdania">
    <w:name w:val="ZZ/FRAG – zmiana zm. fragmentu (np. zdania)"/>
    <w:basedOn w:val="ZZCZWSPPKTzmianazmczciwsppkt"/>
    <w:uiPriority w:val="70"/>
    <w:qFormat/>
    <w:rsid w:val="00F9038A"/>
  </w:style>
  <w:style w:type="paragraph" w:customStyle="1" w:styleId="Z2TIRPKTzmpktpodwjnymtiret">
    <w:name w:val="Z_2TIR/PKT – zm. pkt podwójnym tiret"/>
    <w:basedOn w:val="Z2TIRLITzmlitpodwjnymtiret"/>
    <w:uiPriority w:val="83"/>
    <w:qFormat/>
    <w:rsid w:val="00F903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903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903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903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9038A"/>
    <w:pPr>
      <w:ind w:left="1780" w:firstLine="510"/>
    </w:pPr>
  </w:style>
  <w:style w:type="paragraph" w:customStyle="1" w:styleId="Z2TIRUSTzmustpodwjnymtiret">
    <w:name w:val="Z_2TIR/UST(§) – zm. ust. (§) podwójnym tiret"/>
    <w:basedOn w:val="Z2TIRPKTzmpktpodwjnymtiret"/>
    <w:uiPriority w:val="82"/>
    <w:qFormat/>
    <w:rsid w:val="00F903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9038A"/>
    <w:pPr>
      <w:ind w:left="3164" w:firstLine="0"/>
    </w:pPr>
  </w:style>
  <w:style w:type="paragraph" w:customStyle="1" w:styleId="Z2TIRCZWSPPKTzmczciwsppktpodwjnymtiret">
    <w:name w:val="Z_2TIR/CZ_WSP_PKT – zm. części wsp. pkt podwójnym tiret"/>
    <w:basedOn w:val="Z2TIRPKTzmpktpodwjnymtiret"/>
    <w:uiPriority w:val="86"/>
    <w:qFormat/>
    <w:rsid w:val="00F903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903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9038A"/>
    <w:pPr>
      <w:ind w:left="2767" w:firstLine="0"/>
    </w:pPr>
  </w:style>
  <w:style w:type="paragraph" w:customStyle="1" w:styleId="ZLITARTzmartliter">
    <w:name w:val="Z_LIT/ART(§) – zm. art. (§) literą"/>
    <w:basedOn w:val="ZLITUSTzmustliter"/>
    <w:uiPriority w:val="46"/>
    <w:qFormat/>
    <w:rsid w:val="00F9038A"/>
    <w:rPr>
      <w:rFonts w:ascii="Times New Roman" w:hAnsi="Times New Roman"/>
    </w:rPr>
  </w:style>
  <w:style w:type="paragraph" w:customStyle="1" w:styleId="ZTIRARTzmarttiret">
    <w:name w:val="Z_TIR/ART(§) – zm. art. (§) tiret"/>
    <w:basedOn w:val="ZTIRPKTzmpkttiret"/>
    <w:uiPriority w:val="55"/>
    <w:qFormat/>
    <w:rsid w:val="00F9038A"/>
    <w:pPr>
      <w:ind w:left="1383" w:firstLine="510"/>
    </w:pPr>
    <w:rPr>
      <w:rFonts w:ascii="Times New Roman" w:hAnsi="Times New Roman"/>
    </w:rPr>
  </w:style>
  <w:style w:type="paragraph" w:customStyle="1" w:styleId="ZTIRUSTzmusttiret">
    <w:name w:val="Z_TIR/UST(§) – zm. ust. (§) tiret"/>
    <w:basedOn w:val="ZTIRARTzmarttiret"/>
    <w:uiPriority w:val="55"/>
    <w:qFormat/>
    <w:rsid w:val="00F9038A"/>
  </w:style>
  <w:style w:type="paragraph" w:customStyle="1" w:styleId="ZLITKSIGIzmozniprzedmksigiliter">
    <w:name w:val="Z_LIT/KSIĘGI – zm. ozn. i przedm. księgi literą"/>
    <w:basedOn w:val="ZCZCIKSIGIzmozniprzedmczciksigiartykuempunktem"/>
    <w:uiPriority w:val="44"/>
    <w:qFormat/>
    <w:rsid w:val="00F903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903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903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903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9038A"/>
    <w:pPr>
      <w:ind w:left="987"/>
    </w:pPr>
  </w:style>
  <w:style w:type="paragraph" w:customStyle="1" w:styleId="ZTIRDZOZNzmozndziautiret">
    <w:name w:val="Z_TIR/DZ_OZN – zm. ozn. działu tiret"/>
    <w:basedOn w:val="ZLITTYTDZOZNzmozntytuudziauliter"/>
    <w:next w:val="ZTIRDZPRZEDMzmprzedmdziautiret"/>
    <w:uiPriority w:val="54"/>
    <w:qFormat/>
    <w:rsid w:val="00F9038A"/>
    <w:pPr>
      <w:ind w:left="1383"/>
    </w:pPr>
  </w:style>
  <w:style w:type="paragraph" w:customStyle="1" w:styleId="ZTIRDZPRZEDMzmprzedmdziautiret">
    <w:name w:val="Z_TIR/DZ_PRZEDM – zm. przedm. działu tiret"/>
    <w:basedOn w:val="ZLITTYTDZPRZEDMzmprzedmtytuudziauliter"/>
    <w:uiPriority w:val="54"/>
    <w:qFormat/>
    <w:rsid w:val="00F903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9038A"/>
    <w:pPr>
      <w:ind w:left="1383"/>
    </w:pPr>
  </w:style>
  <w:style w:type="paragraph" w:customStyle="1" w:styleId="ZTIRROZDZODDZPRZEDMzmprzedmrozdzoddztiret">
    <w:name w:val="Z_TIR/ROZDZ(ODDZ)_PRZEDM – zm. przedm. rozdz. (oddz.) tiret"/>
    <w:basedOn w:val="ZLITROZDZODDZPRZEDMzmprzedmrozdzoddzliter"/>
    <w:uiPriority w:val="54"/>
    <w:qFormat/>
    <w:rsid w:val="00F903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903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9038A"/>
    <w:pPr>
      <w:ind w:left="1780"/>
    </w:pPr>
  </w:style>
  <w:style w:type="character" w:customStyle="1" w:styleId="IGindeksgrny">
    <w:name w:val="_IG_ – indeks górny"/>
    <w:basedOn w:val="Domylnaczcionkaakapitu"/>
    <w:uiPriority w:val="2"/>
    <w:qFormat/>
    <w:rsid w:val="00F9038A"/>
    <w:rPr>
      <w:b w:val="0"/>
      <w:i w:val="0"/>
      <w:vanish w:val="0"/>
      <w:spacing w:val="0"/>
      <w:vertAlign w:val="superscript"/>
    </w:rPr>
  </w:style>
  <w:style w:type="character" w:customStyle="1" w:styleId="IDindeksdolny">
    <w:name w:val="_ID_ – indeks dolny"/>
    <w:basedOn w:val="Domylnaczcionkaakapitu"/>
    <w:uiPriority w:val="3"/>
    <w:qFormat/>
    <w:rsid w:val="00F9038A"/>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9038A"/>
    <w:rPr>
      <w:b/>
      <w:vanish w:val="0"/>
      <w:spacing w:val="0"/>
      <w:vertAlign w:val="subscript"/>
    </w:rPr>
  </w:style>
  <w:style w:type="character" w:customStyle="1" w:styleId="IDKindeksdolnyikursywa">
    <w:name w:val="_ID_K_ – indeks dolny i kursywa"/>
    <w:basedOn w:val="Domylnaczcionkaakapitu"/>
    <w:uiPriority w:val="3"/>
    <w:qFormat/>
    <w:rsid w:val="00F9038A"/>
    <w:rPr>
      <w:i/>
      <w:vanish w:val="0"/>
      <w:spacing w:val="0"/>
      <w:vertAlign w:val="subscript"/>
    </w:rPr>
  </w:style>
  <w:style w:type="character" w:customStyle="1" w:styleId="IGPindeksgrnyipogrubienie">
    <w:name w:val="_IG_P_ – indeks górny i pogrubienie"/>
    <w:basedOn w:val="Domylnaczcionkaakapitu"/>
    <w:uiPriority w:val="2"/>
    <w:qFormat/>
    <w:rsid w:val="00F9038A"/>
    <w:rPr>
      <w:b/>
      <w:vanish w:val="0"/>
      <w:spacing w:val="0"/>
      <w:vertAlign w:val="superscript"/>
    </w:rPr>
  </w:style>
  <w:style w:type="character" w:customStyle="1" w:styleId="IGKindeksgrnyikursywa">
    <w:name w:val="_IG_K_ – indeks górny i kursywa"/>
    <w:basedOn w:val="Domylnaczcionkaakapitu"/>
    <w:uiPriority w:val="2"/>
    <w:qFormat/>
    <w:rsid w:val="00F9038A"/>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9038A"/>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9038A"/>
    <w:rPr>
      <w:b/>
      <w:i/>
      <w:vanish w:val="0"/>
      <w:spacing w:val="0"/>
      <w:vertAlign w:val="subscript"/>
    </w:rPr>
  </w:style>
  <w:style w:type="character" w:customStyle="1" w:styleId="Ppogrubienie">
    <w:name w:val="_P_ – pogrubienie"/>
    <w:basedOn w:val="Domylnaczcionkaakapitu"/>
    <w:uiPriority w:val="1"/>
    <w:qFormat/>
    <w:rsid w:val="00F9038A"/>
    <w:rPr>
      <w:b/>
    </w:rPr>
  </w:style>
  <w:style w:type="character" w:customStyle="1" w:styleId="Kkursywa">
    <w:name w:val="_K_ – kursywa"/>
    <w:basedOn w:val="Domylnaczcionkaakapitu"/>
    <w:uiPriority w:val="1"/>
    <w:qFormat/>
    <w:rsid w:val="00F9038A"/>
    <w:rPr>
      <w:i/>
    </w:rPr>
  </w:style>
  <w:style w:type="character" w:customStyle="1" w:styleId="PKpogrubieniekursywa">
    <w:name w:val="_P_K_ – pogrubienie kursywa"/>
    <w:basedOn w:val="Domylnaczcionkaakapitu"/>
    <w:uiPriority w:val="1"/>
    <w:qFormat/>
    <w:rsid w:val="00F9038A"/>
    <w:rPr>
      <w:b/>
      <w:i/>
    </w:rPr>
  </w:style>
  <w:style w:type="character" w:customStyle="1" w:styleId="TEKSTOZNACZONYWDOKUMENCIERDOWYMJAKOUKRYTY">
    <w:name w:val="_TEKST_OZNACZONY_W_DOKUMENCIE_ŹRÓDŁOWYM_JAKO_UKRYTY_"/>
    <w:basedOn w:val="Domylnaczcionkaakapitu"/>
    <w:uiPriority w:val="4"/>
    <w:unhideWhenUsed/>
    <w:qFormat/>
    <w:rsid w:val="00F9038A"/>
    <w:rPr>
      <w:vanish w:val="0"/>
      <w:color w:val="FF0000"/>
      <w:u w:val="single" w:color="FF0000"/>
    </w:rPr>
  </w:style>
  <w:style w:type="character" w:customStyle="1" w:styleId="BEZWERSALIKW">
    <w:name w:val="_BEZ_WERSALIKÓW_"/>
    <w:basedOn w:val="Domylnaczcionkaakapitu"/>
    <w:uiPriority w:val="4"/>
    <w:qFormat/>
    <w:rsid w:val="00F9038A"/>
    <w:rPr>
      <w:caps/>
    </w:rPr>
  </w:style>
  <w:style w:type="character" w:customStyle="1" w:styleId="IIGPindeksgrnyindeksugrnegoipogrubienie">
    <w:name w:val="_IIG_P_ – indeks górny indeksu górnego i pogrubienie"/>
    <w:basedOn w:val="Domylnaczcionkaakapitu"/>
    <w:uiPriority w:val="3"/>
    <w:qFormat/>
    <w:rsid w:val="00F9038A"/>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9038A"/>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9038A"/>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F9038A"/>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F9038A"/>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F9038A"/>
    <w:pPr>
      <w:ind w:left="1894"/>
    </w:pPr>
  </w:style>
  <w:style w:type="paragraph" w:customStyle="1" w:styleId="ZZSKARNzmianazmsankcjikarnej">
    <w:name w:val="ZZ/S_KARN – zmiana zm. sankcji karnej"/>
    <w:basedOn w:val="ZZFRAGzmianazmfragmentunpzdania"/>
    <w:uiPriority w:val="71"/>
    <w:qFormat/>
    <w:rsid w:val="00F9038A"/>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9038A"/>
    <w:pPr>
      <w:ind w:left="2291" w:firstLine="0"/>
    </w:pPr>
  </w:style>
  <w:style w:type="paragraph" w:customStyle="1" w:styleId="WMATFIZCHEMwzrmatfizlubchem">
    <w:name w:val="W_MAT(FIZ|CHEM) – wzór mat. (fiz. lub chem.)"/>
    <w:uiPriority w:val="18"/>
    <w:qFormat/>
    <w:rsid w:val="00F9038A"/>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F9038A"/>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9038A"/>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9038A"/>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9038A"/>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9038A"/>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9038A"/>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9038A"/>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9038A"/>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9038A"/>
    <w:pPr>
      <w:ind w:left="3085"/>
    </w:pPr>
  </w:style>
  <w:style w:type="paragraph" w:customStyle="1" w:styleId="ZLITCYTzmcytatunpprzysigiliter">
    <w:name w:val="Z_LIT/CYT – zm. cytatu np. przysięgi literą"/>
    <w:basedOn w:val="ZCYTzmcytatunpprzysigiartykuempunktem"/>
    <w:uiPriority w:val="53"/>
    <w:qFormat/>
    <w:rsid w:val="00F9038A"/>
    <w:pPr>
      <w:ind w:left="1497"/>
    </w:pPr>
  </w:style>
  <w:style w:type="paragraph" w:customStyle="1" w:styleId="ZTIRCYTzmcytatunpprzysigitiret">
    <w:name w:val="Z_TIR/CYT – zm. cytatu np. przysięgi tiret"/>
    <w:basedOn w:val="ZLITCYTzmcytatunpprzysigiliter"/>
    <w:next w:val="ZTIRUSTzmusttiret"/>
    <w:uiPriority w:val="61"/>
    <w:qFormat/>
    <w:rsid w:val="00F9038A"/>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9038A"/>
    <w:pPr>
      <w:ind w:left="2291"/>
    </w:pPr>
  </w:style>
  <w:style w:type="paragraph" w:customStyle="1" w:styleId="ZZCYTzmianazmcytatunpprzysigi">
    <w:name w:val="ZZ/CYT – zmiana zm. cytatu np. przysięgi"/>
    <w:basedOn w:val="ZZFRAGzmianazmfragmentunpzdania"/>
    <w:next w:val="ZZUSTzmianazmust"/>
    <w:uiPriority w:val="71"/>
    <w:qFormat/>
    <w:rsid w:val="00F9038A"/>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9038A"/>
    <w:pPr>
      <w:ind w:left="1780"/>
    </w:pPr>
  </w:style>
  <w:style w:type="table" w:styleId="Tabela-Siatka">
    <w:name w:val="Table Grid"/>
    <w:basedOn w:val="Standardowy"/>
    <w:rsid w:val="00F9038A"/>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F9038A"/>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9038A"/>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9038A"/>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9038A"/>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9038A"/>
    <w:rPr>
      <w:color w:val="808080"/>
    </w:rPr>
  </w:style>
  <w:style w:type="paragraph" w:styleId="Tekstprzypisukocowego">
    <w:name w:val="endnote text"/>
    <w:basedOn w:val="Normalny"/>
    <w:link w:val="TekstprzypisukocowegoZnak"/>
    <w:uiPriority w:val="99"/>
    <w:unhideWhenUsed/>
    <w:rsid w:val="00F9038A"/>
    <w:pPr>
      <w:spacing w:line="240" w:lineRule="auto"/>
    </w:pPr>
    <w:rPr>
      <w:sz w:val="20"/>
    </w:rPr>
  </w:style>
  <w:style w:type="character" w:customStyle="1" w:styleId="TekstprzypisukocowegoZnak">
    <w:name w:val="Tekst przypisu końcowego Znak"/>
    <w:basedOn w:val="Domylnaczcionkaakapitu"/>
    <w:link w:val="Tekstprzypisukocowego"/>
    <w:uiPriority w:val="99"/>
    <w:rsid w:val="00F9038A"/>
    <w:rPr>
      <w:rFonts w:ascii="Calibri" w:eastAsia="Calibri" w:hAnsi="Calibri" w:cs="Times New Roman"/>
      <w:sz w:val="20"/>
    </w:rPr>
  </w:style>
  <w:style w:type="character" w:styleId="Odwoanieprzypisukocowego">
    <w:name w:val="endnote reference"/>
    <w:basedOn w:val="Domylnaczcionkaakapitu"/>
    <w:uiPriority w:val="99"/>
    <w:semiHidden/>
    <w:unhideWhenUsed/>
    <w:rsid w:val="00F9038A"/>
    <w:rPr>
      <w:vertAlign w:val="superscript"/>
    </w:rPr>
  </w:style>
  <w:style w:type="character" w:styleId="Hipercze">
    <w:name w:val="Hyperlink"/>
    <w:basedOn w:val="Domylnaczcionkaakapitu"/>
    <w:uiPriority w:val="99"/>
    <w:unhideWhenUsed/>
    <w:rsid w:val="00F9038A"/>
    <w:rPr>
      <w:color w:val="0000FF"/>
      <w:u w:val="single"/>
    </w:rPr>
  </w:style>
  <w:style w:type="paragraph" w:styleId="Akapitzlist">
    <w:name w:val="List Paragraph"/>
    <w:aliases w:val="Dot pt,F5 List Paragraph"/>
    <w:basedOn w:val="Normalny"/>
    <w:link w:val="AkapitzlistZnak"/>
    <w:uiPriority w:val="99"/>
    <w:qFormat/>
    <w:rsid w:val="00F9038A"/>
    <w:pPr>
      <w:spacing w:after="0" w:line="240" w:lineRule="auto"/>
      <w:ind w:left="720"/>
    </w:pPr>
    <w:rPr>
      <w:rFonts w:eastAsiaTheme="minorHAnsi"/>
    </w:rPr>
  </w:style>
  <w:style w:type="paragraph" w:styleId="Poprawka">
    <w:name w:val="Revision"/>
    <w:hidden/>
    <w:uiPriority w:val="99"/>
    <w:semiHidden/>
    <w:rsid w:val="00F9038A"/>
    <w:pPr>
      <w:spacing w:after="0" w:line="240" w:lineRule="auto"/>
    </w:pPr>
    <w:rPr>
      <w:rFonts w:ascii="Times New Roman" w:eastAsiaTheme="minorEastAsia" w:hAnsi="Times New Roman" w:cs="Arial"/>
      <w:sz w:val="24"/>
      <w:szCs w:val="20"/>
      <w:lang w:eastAsia="pl-PL"/>
    </w:rPr>
  </w:style>
  <w:style w:type="paragraph" w:styleId="Tytu">
    <w:name w:val="Title"/>
    <w:basedOn w:val="Normalny"/>
    <w:next w:val="Normalny"/>
    <w:link w:val="TytuZnak"/>
    <w:uiPriority w:val="10"/>
    <w:qFormat/>
    <w:rsid w:val="00F9038A"/>
    <w:pPr>
      <w:spacing w:after="0" w:line="276" w:lineRule="auto"/>
    </w:pPr>
    <w:rPr>
      <w:rFonts w:asciiTheme="majorHAnsi" w:eastAsiaTheme="majorEastAsia" w:hAnsiTheme="majorHAnsi" w:cstheme="majorBidi"/>
      <w:caps/>
      <w:color w:val="5B9BD5" w:themeColor="accent1"/>
      <w:spacing w:val="10"/>
      <w:sz w:val="52"/>
      <w:szCs w:val="52"/>
    </w:rPr>
  </w:style>
  <w:style w:type="character" w:customStyle="1" w:styleId="TytuZnak">
    <w:name w:val="Tytuł Znak"/>
    <w:basedOn w:val="Domylnaczcionkaakapitu"/>
    <w:link w:val="Tytu"/>
    <w:uiPriority w:val="10"/>
    <w:rsid w:val="00F9038A"/>
    <w:rPr>
      <w:rFonts w:asciiTheme="majorHAnsi" w:eastAsiaTheme="majorEastAsia" w:hAnsiTheme="majorHAnsi" w:cstheme="majorBidi"/>
      <w:caps/>
      <w:color w:val="5B9BD5" w:themeColor="accent1"/>
      <w:spacing w:val="10"/>
      <w:sz w:val="52"/>
      <w:szCs w:val="52"/>
    </w:rPr>
  </w:style>
  <w:style w:type="character" w:styleId="Pogrubienie">
    <w:name w:val="Strong"/>
    <w:basedOn w:val="Domylnaczcionkaakapitu"/>
    <w:uiPriority w:val="22"/>
    <w:qFormat/>
    <w:rsid w:val="00F9038A"/>
    <w:rPr>
      <w:b/>
      <w:bCs/>
    </w:rPr>
  </w:style>
  <w:style w:type="paragraph" w:styleId="NormalnyWeb">
    <w:name w:val="Normal (Web)"/>
    <w:basedOn w:val="Normalny"/>
    <w:uiPriority w:val="99"/>
    <w:unhideWhenUsed/>
    <w:rsid w:val="00F9038A"/>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1">
    <w:name w:val="p1"/>
    <w:basedOn w:val="Normalny"/>
    <w:rsid w:val="00F9038A"/>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efault">
    <w:name w:val="Default"/>
    <w:rsid w:val="00F9038A"/>
    <w:pPr>
      <w:autoSpaceDE w:val="0"/>
      <w:autoSpaceDN w:val="0"/>
      <w:adjustRightInd w:val="0"/>
      <w:spacing w:after="0" w:line="240" w:lineRule="auto"/>
    </w:pPr>
    <w:rPr>
      <w:rFonts w:ascii="EUAlbertina" w:eastAsia="Times New Roman" w:hAnsi="EUAlbertina" w:cs="EUAlbertina"/>
      <w:color w:val="000000"/>
      <w:sz w:val="24"/>
      <w:szCs w:val="24"/>
      <w:lang w:eastAsia="pl-PL"/>
    </w:rPr>
  </w:style>
  <w:style w:type="paragraph" w:customStyle="1" w:styleId="CM1">
    <w:name w:val="CM1"/>
    <w:basedOn w:val="Default"/>
    <w:next w:val="Default"/>
    <w:uiPriority w:val="99"/>
    <w:rsid w:val="00F9038A"/>
    <w:rPr>
      <w:rFonts w:ascii="Times New Roman" w:hAnsi="Times New Roman" w:cs="Times New Roman"/>
      <w:color w:val="auto"/>
    </w:rPr>
  </w:style>
  <w:style w:type="paragraph" w:customStyle="1" w:styleId="CM3">
    <w:name w:val="CM3"/>
    <w:basedOn w:val="Default"/>
    <w:next w:val="Default"/>
    <w:uiPriority w:val="99"/>
    <w:rsid w:val="00F9038A"/>
    <w:rPr>
      <w:rFonts w:ascii="Times New Roman" w:hAnsi="Times New Roman" w:cs="Times New Roman"/>
      <w:color w:val="auto"/>
    </w:rPr>
  </w:style>
  <w:style w:type="paragraph" w:customStyle="1" w:styleId="CM4">
    <w:name w:val="CM4"/>
    <w:basedOn w:val="Default"/>
    <w:next w:val="Default"/>
    <w:uiPriority w:val="99"/>
    <w:rsid w:val="00F9038A"/>
    <w:rPr>
      <w:rFonts w:ascii="Times New Roman" w:hAnsi="Times New Roman" w:cs="Times New Roman"/>
      <w:color w:val="auto"/>
    </w:rPr>
  </w:style>
  <w:style w:type="character" w:customStyle="1" w:styleId="ARTartustawynprozporzdzeniaZnak">
    <w:name w:val="ART(§) – art. ustawy (§ np. rozporządzenia) Znak"/>
    <w:link w:val="ARTartustawynprozporzdzenia"/>
    <w:uiPriority w:val="11"/>
    <w:locked/>
    <w:rsid w:val="00F9038A"/>
    <w:rPr>
      <w:rFonts w:ascii="Times" w:eastAsiaTheme="minorEastAsia" w:hAnsi="Times" w:cs="Arial"/>
      <w:sz w:val="24"/>
      <w:szCs w:val="20"/>
      <w:lang w:eastAsia="pl-PL"/>
    </w:rPr>
  </w:style>
  <w:style w:type="character" w:customStyle="1" w:styleId="alb-s">
    <w:name w:val="a_lb-s"/>
    <w:basedOn w:val="Domylnaczcionkaakapitu"/>
    <w:rsid w:val="00F9038A"/>
  </w:style>
  <w:style w:type="character" w:customStyle="1" w:styleId="Other">
    <w:name w:val="Other_"/>
    <w:basedOn w:val="Domylnaczcionkaakapitu"/>
    <w:link w:val="Other0"/>
    <w:rsid w:val="00F9038A"/>
    <w:rPr>
      <w:rFonts w:ascii="Times New Roman" w:hAnsi="Times New Roman"/>
      <w:color w:val="B7585F"/>
      <w:sz w:val="17"/>
      <w:szCs w:val="17"/>
      <w:shd w:val="clear" w:color="auto" w:fill="FFFFFF"/>
    </w:rPr>
  </w:style>
  <w:style w:type="paragraph" w:customStyle="1" w:styleId="Other0">
    <w:name w:val="Other"/>
    <w:basedOn w:val="Normalny"/>
    <w:link w:val="Other"/>
    <w:rsid w:val="00F9038A"/>
    <w:pPr>
      <w:widowControl w:val="0"/>
      <w:shd w:val="clear" w:color="auto" w:fill="FFFFFF"/>
      <w:spacing w:after="100" w:line="240" w:lineRule="auto"/>
    </w:pPr>
    <w:rPr>
      <w:rFonts w:ascii="Times New Roman" w:eastAsiaTheme="minorHAnsi" w:hAnsi="Times New Roman" w:cstheme="minorBidi"/>
      <w:color w:val="B7585F"/>
      <w:sz w:val="17"/>
      <w:szCs w:val="17"/>
    </w:rPr>
  </w:style>
  <w:style w:type="paragraph" w:customStyle="1" w:styleId="text-justify">
    <w:name w:val="text-justify"/>
    <w:basedOn w:val="Normalny"/>
    <w:rsid w:val="00F9038A"/>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AkapitzlistZnak">
    <w:name w:val="Akapit z listą Znak"/>
    <w:aliases w:val="Dot pt Znak,F5 List Paragraph Znak"/>
    <w:link w:val="Akapitzlist"/>
    <w:uiPriority w:val="99"/>
    <w:locked/>
    <w:rsid w:val="00F9038A"/>
    <w:rPr>
      <w:rFonts w:ascii="Calibri" w:hAnsi="Calibri" w:cs="Times New Roman"/>
    </w:rPr>
  </w:style>
  <w:style w:type="paragraph" w:customStyle="1" w:styleId="oj-doc-ti">
    <w:name w:val="oj-doc-ti"/>
    <w:basedOn w:val="Normalny"/>
    <w:rsid w:val="00F9038A"/>
    <w:pPr>
      <w:spacing w:before="100" w:beforeAutospacing="1" w:after="100" w:afterAutospacing="1" w:line="240" w:lineRule="auto"/>
    </w:pPr>
    <w:rPr>
      <w:rFonts w:ascii="Times New Roman" w:eastAsia="Times New Roman" w:hAnsi="Times New Roman"/>
      <w:sz w:val="24"/>
      <w:szCs w:val="24"/>
      <w:lang w:eastAsia="pl-PL"/>
    </w:rPr>
  </w:style>
  <w:style w:type="table" w:customStyle="1" w:styleId="Tabela-Siatka1">
    <w:name w:val="Tabela - Siatka1"/>
    <w:basedOn w:val="Standardowy"/>
    <w:next w:val="Tabela-Siatka"/>
    <w:uiPriority w:val="99"/>
    <w:rsid w:val="00F9038A"/>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F9038A"/>
    <w:rPr>
      <w:color w:val="800080"/>
      <w:u w:val="single"/>
    </w:rPr>
  </w:style>
  <w:style w:type="character" w:customStyle="1" w:styleId="normaltextrun">
    <w:name w:val="normaltextrun"/>
    <w:basedOn w:val="Domylnaczcionkaakapitu"/>
    <w:rsid w:val="00F9038A"/>
  </w:style>
  <w:style w:type="character" w:customStyle="1" w:styleId="eop">
    <w:name w:val="eop"/>
    <w:basedOn w:val="Domylnaczcionkaakapitu"/>
    <w:rsid w:val="00F90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43011</Words>
  <Characters>258066</Characters>
  <Application>Microsoft Office Word</Application>
  <DocSecurity>0</DocSecurity>
  <Lines>2150</Lines>
  <Paragraphs>600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300477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Ćwiek Katarzyna</dc:creator>
  <cp:keywords/>
  <dc:description/>
  <cp:lastModifiedBy>Grażyna D. Grabowska</cp:lastModifiedBy>
  <cp:revision>2</cp:revision>
  <dcterms:created xsi:type="dcterms:W3CDTF">2023-01-20T10:56:00Z</dcterms:created>
  <dcterms:modified xsi:type="dcterms:W3CDTF">2023-01-20T10:56:00Z</dcterms:modified>
</cp:coreProperties>
</file>